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7C63A" w14:textId="77777777" w:rsidR="002F0DD3" w:rsidRPr="002B465A" w:rsidRDefault="002F0DD3" w:rsidP="007B2E3F">
      <w:pPr>
        <w:spacing w:after="0" w:line="360" w:lineRule="auto"/>
        <w:jc w:val="both"/>
        <w:rPr>
          <w:rFonts w:ascii="Times New Roman" w:eastAsia="Times New Roman" w:hAnsi="Times New Roman"/>
          <w:iCs/>
          <w:color w:val="000000"/>
          <w:sz w:val="24"/>
          <w:szCs w:val="24"/>
          <w:lang w:eastAsia="es-EC"/>
        </w:rPr>
      </w:pPr>
    </w:p>
    <w:p w14:paraId="5AFC7E14" w14:textId="51521E44" w:rsidR="007B2E3F" w:rsidRPr="002B465A" w:rsidRDefault="00FA24DF" w:rsidP="007B2E3F">
      <w:pPr>
        <w:spacing w:after="0" w:line="360" w:lineRule="auto"/>
        <w:jc w:val="both"/>
        <w:rPr>
          <w:rFonts w:ascii="Times New Roman" w:hAnsi="Times New Roman"/>
          <w:b/>
          <w:color w:val="000000"/>
        </w:rPr>
      </w:pPr>
      <w:r>
        <w:rPr>
          <w:noProof/>
        </w:rPr>
        <w:drawing>
          <wp:anchor distT="0" distB="0" distL="114300" distR="114300" simplePos="0" relativeHeight="251659776" behindDoc="1" locked="0" layoutInCell="1" allowOverlap="1" wp14:anchorId="3D634235" wp14:editId="4A69A0FE">
            <wp:simplePos x="0" y="0"/>
            <wp:positionH relativeFrom="column">
              <wp:posOffset>2356485</wp:posOffset>
            </wp:positionH>
            <wp:positionV relativeFrom="paragraph">
              <wp:posOffset>121285</wp:posOffset>
            </wp:positionV>
            <wp:extent cx="1247775" cy="390525"/>
            <wp:effectExtent l="0" t="0" r="0" b="0"/>
            <wp:wrapNone/>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p>
    <w:p w14:paraId="237DAB65" w14:textId="77777777" w:rsidR="00724AB1" w:rsidRPr="002B465A" w:rsidRDefault="007826CF" w:rsidP="002B315B">
      <w:pPr>
        <w:pBdr>
          <w:top w:val="nil"/>
          <w:left w:val="nil"/>
          <w:bottom w:val="nil"/>
          <w:right w:val="nil"/>
          <w:between w:val="nil"/>
        </w:pBd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14:paraId="27250B46" w14:textId="77777777" w:rsidR="006C209B" w:rsidRPr="008F75DF" w:rsidRDefault="006C209B" w:rsidP="00BC341A">
      <w:pPr>
        <w:pStyle w:val="Sinespaciado"/>
        <w:spacing w:line="360" w:lineRule="auto"/>
        <w:rPr>
          <w:rFonts w:ascii="Times New Roman" w:hAnsi="Times New Roman"/>
          <w:b/>
          <w:i/>
          <w:sz w:val="18"/>
          <w:lang w:eastAsia="es-EC"/>
        </w:rPr>
      </w:pPr>
    </w:p>
    <w:p w14:paraId="40F47782" w14:textId="77777777" w:rsidR="007141AA" w:rsidRDefault="007141AA" w:rsidP="00251DF0">
      <w:pPr>
        <w:tabs>
          <w:tab w:val="center" w:pos="4702"/>
          <w:tab w:val="right" w:pos="9404"/>
        </w:tabs>
        <w:spacing w:after="0"/>
        <w:jc w:val="center"/>
        <w:rPr>
          <w:rFonts w:ascii="Times New Roman" w:eastAsia="Times New Roman" w:hAnsi="Times New Roman"/>
          <w:b/>
          <w:i/>
          <w:sz w:val="28"/>
          <w:szCs w:val="26"/>
        </w:rPr>
      </w:pPr>
    </w:p>
    <w:p w14:paraId="383D730D" w14:textId="7E145543" w:rsidR="00BF1721" w:rsidRDefault="0095350E" w:rsidP="00222A8A">
      <w:pPr>
        <w:tabs>
          <w:tab w:val="center" w:pos="4702"/>
          <w:tab w:val="right" w:pos="9404"/>
        </w:tabs>
        <w:spacing w:after="0"/>
        <w:jc w:val="center"/>
        <w:rPr>
          <w:rFonts w:ascii="Times New Roman" w:eastAsia="Times New Roman" w:hAnsi="Times New Roman"/>
          <w:b/>
          <w:i/>
          <w:sz w:val="28"/>
          <w:szCs w:val="26"/>
        </w:rPr>
      </w:pPr>
      <w:r w:rsidRPr="0095350E">
        <w:rPr>
          <w:rFonts w:ascii="Times New Roman" w:eastAsia="Times New Roman" w:hAnsi="Times New Roman"/>
          <w:b/>
          <w:i/>
          <w:sz w:val="28"/>
          <w:szCs w:val="26"/>
        </w:rPr>
        <w:t>Impacto de la inteligencia generativa en el desarrollo del pensamiento crítico en estudiantes universitarios</w:t>
      </w:r>
    </w:p>
    <w:p w14:paraId="476FE73A" w14:textId="77777777" w:rsidR="00F241AF" w:rsidRDefault="00F241AF" w:rsidP="00222A8A">
      <w:pPr>
        <w:tabs>
          <w:tab w:val="center" w:pos="4702"/>
          <w:tab w:val="right" w:pos="9404"/>
        </w:tabs>
        <w:spacing w:after="0"/>
        <w:jc w:val="center"/>
        <w:rPr>
          <w:rFonts w:ascii="Times New Roman" w:eastAsia="Times New Roman" w:hAnsi="Times New Roman"/>
          <w:b/>
          <w:i/>
          <w:sz w:val="28"/>
          <w:szCs w:val="26"/>
        </w:rPr>
      </w:pPr>
    </w:p>
    <w:p w14:paraId="071567A8" w14:textId="3B6731BE" w:rsidR="00F241AF" w:rsidRDefault="0095350E" w:rsidP="00222A8A">
      <w:pPr>
        <w:tabs>
          <w:tab w:val="center" w:pos="4702"/>
          <w:tab w:val="right" w:pos="9404"/>
        </w:tabs>
        <w:spacing w:after="0"/>
        <w:jc w:val="center"/>
        <w:rPr>
          <w:rFonts w:ascii="Times New Roman" w:eastAsia="Times New Roman" w:hAnsi="Times New Roman"/>
          <w:b/>
          <w:i/>
          <w:sz w:val="28"/>
          <w:szCs w:val="26"/>
        </w:rPr>
      </w:pPr>
      <w:proofErr w:type="spellStart"/>
      <w:r w:rsidRPr="0095350E">
        <w:rPr>
          <w:rFonts w:ascii="Times New Roman" w:eastAsia="Times New Roman" w:hAnsi="Times New Roman"/>
          <w:b/>
          <w:i/>
          <w:sz w:val="28"/>
          <w:szCs w:val="26"/>
        </w:rPr>
        <w:t>Impact</w:t>
      </w:r>
      <w:proofErr w:type="spellEnd"/>
      <w:r w:rsidRPr="0095350E">
        <w:rPr>
          <w:rFonts w:ascii="Times New Roman" w:eastAsia="Times New Roman" w:hAnsi="Times New Roman"/>
          <w:b/>
          <w:i/>
          <w:sz w:val="28"/>
          <w:szCs w:val="26"/>
        </w:rPr>
        <w:t xml:space="preserve"> </w:t>
      </w:r>
      <w:proofErr w:type="spellStart"/>
      <w:r w:rsidRPr="0095350E">
        <w:rPr>
          <w:rFonts w:ascii="Times New Roman" w:eastAsia="Times New Roman" w:hAnsi="Times New Roman"/>
          <w:b/>
          <w:i/>
          <w:sz w:val="28"/>
          <w:szCs w:val="26"/>
        </w:rPr>
        <w:t>of</w:t>
      </w:r>
      <w:proofErr w:type="spellEnd"/>
      <w:r w:rsidRPr="0095350E">
        <w:rPr>
          <w:rFonts w:ascii="Times New Roman" w:eastAsia="Times New Roman" w:hAnsi="Times New Roman"/>
          <w:b/>
          <w:i/>
          <w:sz w:val="28"/>
          <w:szCs w:val="26"/>
        </w:rPr>
        <w:t xml:space="preserve"> </w:t>
      </w:r>
      <w:proofErr w:type="spellStart"/>
      <w:r w:rsidRPr="0095350E">
        <w:rPr>
          <w:rFonts w:ascii="Times New Roman" w:eastAsia="Times New Roman" w:hAnsi="Times New Roman"/>
          <w:b/>
          <w:i/>
          <w:sz w:val="28"/>
          <w:szCs w:val="26"/>
        </w:rPr>
        <w:t>generative</w:t>
      </w:r>
      <w:proofErr w:type="spellEnd"/>
      <w:r w:rsidRPr="0095350E">
        <w:rPr>
          <w:rFonts w:ascii="Times New Roman" w:eastAsia="Times New Roman" w:hAnsi="Times New Roman"/>
          <w:b/>
          <w:i/>
          <w:sz w:val="28"/>
          <w:szCs w:val="26"/>
        </w:rPr>
        <w:t xml:space="preserve"> </w:t>
      </w:r>
      <w:proofErr w:type="spellStart"/>
      <w:r w:rsidRPr="0095350E">
        <w:rPr>
          <w:rFonts w:ascii="Times New Roman" w:eastAsia="Times New Roman" w:hAnsi="Times New Roman"/>
          <w:b/>
          <w:i/>
          <w:sz w:val="28"/>
          <w:szCs w:val="26"/>
        </w:rPr>
        <w:t>intelligence</w:t>
      </w:r>
      <w:proofErr w:type="spellEnd"/>
      <w:r w:rsidRPr="0095350E">
        <w:rPr>
          <w:rFonts w:ascii="Times New Roman" w:eastAsia="Times New Roman" w:hAnsi="Times New Roman"/>
          <w:b/>
          <w:i/>
          <w:sz w:val="28"/>
          <w:szCs w:val="26"/>
        </w:rPr>
        <w:t xml:space="preserve"> </w:t>
      </w:r>
      <w:proofErr w:type="spellStart"/>
      <w:r w:rsidRPr="0095350E">
        <w:rPr>
          <w:rFonts w:ascii="Times New Roman" w:eastAsia="Times New Roman" w:hAnsi="Times New Roman"/>
          <w:b/>
          <w:i/>
          <w:sz w:val="28"/>
          <w:szCs w:val="26"/>
        </w:rPr>
        <w:t>on</w:t>
      </w:r>
      <w:proofErr w:type="spellEnd"/>
      <w:r w:rsidRPr="0095350E">
        <w:rPr>
          <w:rFonts w:ascii="Times New Roman" w:eastAsia="Times New Roman" w:hAnsi="Times New Roman"/>
          <w:b/>
          <w:i/>
          <w:sz w:val="28"/>
          <w:szCs w:val="26"/>
        </w:rPr>
        <w:t xml:space="preserve"> </w:t>
      </w:r>
      <w:proofErr w:type="spellStart"/>
      <w:r w:rsidRPr="0095350E">
        <w:rPr>
          <w:rFonts w:ascii="Times New Roman" w:eastAsia="Times New Roman" w:hAnsi="Times New Roman"/>
          <w:b/>
          <w:i/>
          <w:sz w:val="28"/>
          <w:szCs w:val="26"/>
        </w:rPr>
        <w:t>the</w:t>
      </w:r>
      <w:proofErr w:type="spellEnd"/>
      <w:r w:rsidRPr="0095350E">
        <w:rPr>
          <w:rFonts w:ascii="Times New Roman" w:eastAsia="Times New Roman" w:hAnsi="Times New Roman"/>
          <w:b/>
          <w:i/>
          <w:sz w:val="28"/>
          <w:szCs w:val="26"/>
        </w:rPr>
        <w:t xml:space="preserve"> </w:t>
      </w:r>
      <w:proofErr w:type="spellStart"/>
      <w:r w:rsidRPr="0095350E">
        <w:rPr>
          <w:rFonts w:ascii="Times New Roman" w:eastAsia="Times New Roman" w:hAnsi="Times New Roman"/>
          <w:b/>
          <w:i/>
          <w:sz w:val="28"/>
          <w:szCs w:val="26"/>
        </w:rPr>
        <w:t>development</w:t>
      </w:r>
      <w:proofErr w:type="spellEnd"/>
      <w:r w:rsidRPr="0095350E">
        <w:rPr>
          <w:rFonts w:ascii="Times New Roman" w:eastAsia="Times New Roman" w:hAnsi="Times New Roman"/>
          <w:b/>
          <w:i/>
          <w:sz w:val="28"/>
          <w:szCs w:val="26"/>
        </w:rPr>
        <w:t xml:space="preserve"> </w:t>
      </w:r>
      <w:proofErr w:type="spellStart"/>
      <w:r w:rsidRPr="0095350E">
        <w:rPr>
          <w:rFonts w:ascii="Times New Roman" w:eastAsia="Times New Roman" w:hAnsi="Times New Roman"/>
          <w:b/>
          <w:i/>
          <w:sz w:val="28"/>
          <w:szCs w:val="26"/>
        </w:rPr>
        <w:t>of</w:t>
      </w:r>
      <w:proofErr w:type="spellEnd"/>
      <w:r w:rsidRPr="0095350E">
        <w:rPr>
          <w:rFonts w:ascii="Times New Roman" w:eastAsia="Times New Roman" w:hAnsi="Times New Roman"/>
          <w:b/>
          <w:i/>
          <w:sz w:val="28"/>
          <w:szCs w:val="26"/>
        </w:rPr>
        <w:t xml:space="preserve"> </w:t>
      </w:r>
      <w:proofErr w:type="spellStart"/>
      <w:r w:rsidRPr="0095350E">
        <w:rPr>
          <w:rFonts w:ascii="Times New Roman" w:eastAsia="Times New Roman" w:hAnsi="Times New Roman"/>
          <w:b/>
          <w:i/>
          <w:sz w:val="28"/>
          <w:szCs w:val="26"/>
        </w:rPr>
        <w:t>critical</w:t>
      </w:r>
      <w:proofErr w:type="spellEnd"/>
      <w:r w:rsidRPr="0095350E">
        <w:rPr>
          <w:rFonts w:ascii="Times New Roman" w:eastAsia="Times New Roman" w:hAnsi="Times New Roman"/>
          <w:b/>
          <w:i/>
          <w:sz w:val="28"/>
          <w:szCs w:val="26"/>
        </w:rPr>
        <w:t xml:space="preserve"> </w:t>
      </w:r>
      <w:proofErr w:type="spellStart"/>
      <w:r w:rsidRPr="0095350E">
        <w:rPr>
          <w:rFonts w:ascii="Times New Roman" w:eastAsia="Times New Roman" w:hAnsi="Times New Roman"/>
          <w:b/>
          <w:i/>
          <w:sz w:val="28"/>
          <w:szCs w:val="26"/>
        </w:rPr>
        <w:t>thinking</w:t>
      </w:r>
      <w:proofErr w:type="spellEnd"/>
      <w:r w:rsidRPr="0095350E">
        <w:rPr>
          <w:rFonts w:ascii="Times New Roman" w:eastAsia="Times New Roman" w:hAnsi="Times New Roman"/>
          <w:b/>
          <w:i/>
          <w:sz w:val="28"/>
          <w:szCs w:val="26"/>
        </w:rPr>
        <w:t xml:space="preserve"> in </w:t>
      </w:r>
      <w:proofErr w:type="spellStart"/>
      <w:r w:rsidRPr="0095350E">
        <w:rPr>
          <w:rFonts w:ascii="Times New Roman" w:eastAsia="Times New Roman" w:hAnsi="Times New Roman"/>
          <w:b/>
          <w:i/>
          <w:sz w:val="28"/>
          <w:szCs w:val="26"/>
        </w:rPr>
        <w:t>university</w:t>
      </w:r>
      <w:proofErr w:type="spellEnd"/>
      <w:r w:rsidRPr="0095350E">
        <w:rPr>
          <w:rFonts w:ascii="Times New Roman" w:eastAsia="Times New Roman" w:hAnsi="Times New Roman"/>
          <w:b/>
          <w:i/>
          <w:sz w:val="28"/>
          <w:szCs w:val="26"/>
        </w:rPr>
        <w:t xml:space="preserve"> </w:t>
      </w:r>
      <w:proofErr w:type="spellStart"/>
      <w:r w:rsidRPr="0095350E">
        <w:rPr>
          <w:rFonts w:ascii="Times New Roman" w:eastAsia="Times New Roman" w:hAnsi="Times New Roman"/>
          <w:b/>
          <w:i/>
          <w:sz w:val="28"/>
          <w:szCs w:val="26"/>
        </w:rPr>
        <w:t>students</w:t>
      </w:r>
      <w:proofErr w:type="spellEnd"/>
    </w:p>
    <w:p w14:paraId="0546A6D6" w14:textId="7566E3E9" w:rsidR="00B05B17" w:rsidRPr="00251DF0" w:rsidRDefault="00B05B17" w:rsidP="00222A8A">
      <w:pPr>
        <w:tabs>
          <w:tab w:val="center" w:pos="4702"/>
          <w:tab w:val="right" w:pos="9404"/>
        </w:tabs>
        <w:spacing w:after="0"/>
        <w:jc w:val="center"/>
        <w:rPr>
          <w:rFonts w:ascii="Times New Roman" w:eastAsia="Times New Roman" w:hAnsi="Times New Roman"/>
          <w:b/>
          <w:i/>
          <w:sz w:val="28"/>
          <w:szCs w:val="26"/>
        </w:rPr>
      </w:pPr>
    </w:p>
    <w:p w14:paraId="43AA8790" w14:textId="14FBE118" w:rsidR="00BF1721" w:rsidRDefault="0095350E" w:rsidP="00027B53">
      <w:pPr>
        <w:spacing w:after="0"/>
        <w:jc w:val="center"/>
        <w:rPr>
          <w:rFonts w:ascii="Times New Roman" w:eastAsia="Times New Roman" w:hAnsi="Times New Roman"/>
          <w:b/>
          <w:i/>
          <w:sz w:val="28"/>
          <w:szCs w:val="26"/>
        </w:rPr>
      </w:pPr>
      <w:proofErr w:type="spellStart"/>
      <w:r w:rsidRPr="0095350E">
        <w:rPr>
          <w:rFonts w:ascii="Times New Roman" w:eastAsia="Times New Roman" w:hAnsi="Times New Roman"/>
          <w:b/>
          <w:i/>
          <w:sz w:val="28"/>
          <w:szCs w:val="26"/>
          <w:lang w:val="en-US"/>
        </w:rPr>
        <w:t>Impacto</w:t>
      </w:r>
      <w:proofErr w:type="spellEnd"/>
      <w:r w:rsidRPr="0095350E">
        <w:rPr>
          <w:rFonts w:ascii="Times New Roman" w:eastAsia="Times New Roman" w:hAnsi="Times New Roman"/>
          <w:b/>
          <w:i/>
          <w:sz w:val="28"/>
          <w:szCs w:val="26"/>
          <w:lang w:val="en-US"/>
        </w:rPr>
        <w:t xml:space="preserve"> da </w:t>
      </w:r>
      <w:proofErr w:type="spellStart"/>
      <w:r w:rsidRPr="0095350E">
        <w:rPr>
          <w:rFonts w:ascii="Times New Roman" w:eastAsia="Times New Roman" w:hAnsi="Times New Roman"/>
          <w:b/>
          <w:i/>
          <w:sz w:val="28"/>
          <w:szCs w:val="26"/>
          <w:lang w:val="en-US"/>
        </w:rPr>
        <w:t>inteligência</w:t>
      </w:r>
      <w:proofErr w:type="spellEnd"/>
      <w:r w:rsidRPr="0095350E">
        <w:rPr>
          <w:rFonts w:ascii="Times New Roman" w:eastAsia="Times New Roman" w:hAnsi="Times New Roman"/>
          <w:b/>
          <w:i/>
          <w:sz w:val="28"/>
          <w:szCs w:val="26"/>
          <w:lang w:val="en-US"/>
        </w:rPr>
        <w:t xml:space="preserve"> </w:t>
      </w:r>
      <w:proofErr w:type="spellStart"/>
      <w:r w:rsidRPr="0095350E">
        <w:rPr>
          <w:rFonts w:ascii="Times New Roman" w:eastAsia="Times New Roman" w:hAnsi="Times New Roman"/>
          <w:b/>
          <w:i/>
          <w:sz w:val="28"/>
          <w:szCs w:val="26"/>
          <w:lang w:val="en-US"/>
        </w:rPr>
        <w:t>generativa</w:t>
      </w:r>
      <w:proofErr w:type="spellEnd"/>
      <w:r w:rsidRPr="0095350E">
        <w:rPr>
          <w:rFonts w:ascii="Times New Roman" w:eastAsia="Times New Roman" w:hAnsi="Times New Roman"/>
          <w:b/>
          <w:i/>
          <w:sz w:val="28"/>
          <w:szCs w:val="26"/>
          <w:lang w:val="en-US"/>
        </w:rPr>
        <w:t xml:space="preserve"> no </w:t>
      </w:r>
      <w:proofErr w:type="spellStart"/>
      <w:r w:rsidRPr="0095350E">
        <w:rPr>
          <w:rFonts w:ascii="Times New Roman" w:eastAsia="Times New Roman" w:hAnsi="Times New Roman"/>
          <w:b/>
          <w:i/>
          <w:sz w:val="28"/>
          <w:szCs w:val="26"/>
          <w:lang w:val="en-US"/>
        </w:rPr>
        <w:t>desenvolvimento</w:t>
      </w:r>
      <w:proofErr w:type="spellEnd"/>
      <w:r w:rsidRPr="0095350E">
        <w:rPr>
          <w:rFonts w:ascii="Times New Roman" w:eastAsia="Times New Roman" w:hAnsi="Times New Roman"/>
          <w:b/>
          <w:i/>
          <w:sz w:val="28"/>
          <w:szCs w:val="26"/>
          <w:lang w:val="en-US"/>
        </w:rPr>
        <w:t xml:space="preserve"> do </w:t>
      </w:r>
      <w:proofErr w:type="spellStart"/>
      <w:r w:rsidRPr="0095350E">
        <w:rPr>
          <w:rFonts w:ascii="Times New Roman" w:eastAsia="Times New Roman" w:hAnsi="Times New Roman"/>
          <w:b/>
          <w:i/>
          <w:sz w:val="28"/>
          <w:szCs w:val="26"/>
          <w:lang w:val="en-US"/>
        </w:rPr>
        <w:t>pensamento</w:t>
      </w:r>
      <w:proofErr w:type="spellEnd"/>
      <w:r w:rsidRPr="0095350E">
        <w:rPr>
          <w:rFonts w:ascii="Times New Roman" w:eastAsia="Times New Roman" w:hAnsi="Times New Roman"/>
          <w:b/>
          <w:i/>
          <w:sz w:val="28"/>
          <w:szCs w:val="26"/>
          <w:lang w:val="en-US"/>
        </w:rPr>
        <w:t xml:space="preserve"> </w:t>
      </w:r>
      <w:proofErr w:type="spellStart"/>
      <w:r w:rsidRPr="0095350E">
        <w:rPr>
          <w:rFonts w:ascii="Times New Roman" w:eastAsia="Times New Roman" w:hAnsi="Times New Roman"/>
          <w:b/>
          <w:i/>
          <w:sz w:val="28"/>
          <w:szCs w:val="26"/>
          <w:lang w:val="en-US"/>
        </w:rPr>
        <w:t>crítico</w:t>
      </w:r>
      <w:proofErr w:type="spellEnd"/>
      <w:r w:rsidRPr="0095350E">
        <w:rPr>
          <w:rFonts w:ascii="Times New Roman" w:eastAsia="Times New Roman" w:hAnsi="Times New Roman"/>
          <w:b/>
          <w:i/>
          <w:sz w:val="28"/>
          <w:szCs w:val="26"/>
          <w:lang w:val="en-US"/>
        </w:rPr>
        <w:t xml:space="preserve"> </w:t>
      </w:r>
      <w:proofErr w:type="spellStart"/>
      <w:r w:rsidRPr="0095350E">
        <w:rPr>
          <w:rFonts w:ascii="Times New Roman" w:eastAsia="Times New Roman" w:hAnsi="Times New Roman"/>
          <w:b/>
          <w:i/>
          <w:sz w:val="28"/>
          <w:szCs w:val="26"/>
          <w:lang w:val="en-US"/>
        </w:rPr>
        <w:t>em</w:t>
      </w:r>
      <w:proofErr w:type="spellEnd"/>
      <w:r w:rsidRPr="0095350E">
        <w:rPr>
          <w:rFonts w:ascii="Times New Roman" w:eastAsia="Times New Roman" w:hAnsi="Times New Roman"/>
          <w:b/>
          <w:i/>
          <w:sz w:val="28"/>
          <w:szCs w:val="26"/>
          <w:lang w:val="en-US"/>
        </w:rPr>
        <w:t xml:space="preserve"> </w:t>
      </w:r>
      <w:proofErr w:type="spellStart"/>
      <w:r w:rsidRPr="0095350E">
        <w:rPr>
          <w:rFonts w:ascii="Times New Roman" w:eastAsia="Times New Roman" w:hAnsi="Times New Roman"/>
          <w:b/>
          <w:i/>
          <w:sz w:val="28"/>
          <w:szCs w:val="26"/>
          <w:lang w:val="en-US"/>
        </w:rPr>
        <w:t>estudantes</w:t>
      </w:r>
      <w:proofErr w:type="spellEnd"/>
      <w:r w:rsidRPr="0095350E">
        <w:rPr>
          <w:rFonts w:ascii="Times New Roman" w:eastAsia="Times New Roman" w:hAnsi="Times New Roman"/>
          <w:b/>
          <w:i/>
          <w:sz w:val="28"/>
          <w:szCs w:val="26"/>
          <w:lang w:val="en-US"/>
        </w:rPr>
        <w:t xml:space="preserve"> </w:t>
      </w:r>
      <w:proofErr w:type="spellStart"/>
      <w:r w:rsidRPr="0095350E">
        <w:rPr>
          <w:rFonts w:ascii="Times New Roman" w:eastAsia="Times New Roman" w:hAnsi="Times New Roman"/>
          <w:b/>
          <w:i/>
          <w:sz w:val="28"/>
          <w:szCs w:val="26"/>
          <w:lang w:val="en-US"/>
        </w:rPr>
        <w:t>universitários</w:t>
      </w:r>
      <w:proofErr w:type="spellEnd"/>
    </w:p>
    <w:p w14:paraId="6FE853B7" w14:textId="2EB20BB5" w:rsidR="00B05B17" w:rsidRDefault="00B05B17" w:rsidP="00027B53">
      <w:pPr>
        <w:spacing w:after="0"/>
        <w:jc w:val="center"/>
        <w:rPr>
          <w:rFonts w:ascii="Times New Roman" w:eastAsia="Times New Roman" w:hAnsi="Times New Roman"/>
          <w:b/>
          <w:i/>
          <w:sz w:val="28"/>
          <w:szCs w:val="26"/>
        </w:rPr>
      </w:pPr>
    </w:p>
    <w:p w14:paraId="151E0C7A" w14:textId="78DE837D" w:rsidR="00AA5AC7" w:rsidRDefault="00E92240" w:rsidP="00027B53">
      <w:pPr>
        <w:spacing w:after="0"/>
        <w:jc w:val="center"/>
        <w:rPr>
          <w:rFonts w:ascii="Times New Roman" w:eastAsia="Times New Roman" w:hAnsi="Times New Roman"/>
          <w:b/>
          <w:i/>
          <w:sz w:val="28"/>
          <w:szCs w:val="26"/>
        </w:rPr>
      </w:pPr>
      <w:r>
        <w:rPr>
          <w:noProof/>
        </w:rPr>
        <mc:AlternateContent>
          <mc:Choice Requires="wps">
            <w:drawing>
              <wp:anchor distT="0" distB="0" distL="114300" distR="114300" simplePos="0" relativeHeight="251663872" behindDoc="0" locked="0" layoutInCell="1" allowOverlap="1" wp14:anchorId="43482779" wp14:editId="79371AC7">
                <wp:simplePos x="0" y="0"/>
                <wp:positionH relativeFrom="margin">
                  <wp:posOffset>3275330</wp:posOffset>
                </wp:positionH>
                <wp:positionV relativeFrom="paragraph">
                  <wp:posOffset>27305</wp:posOffset>
                </wp:positionV>
                <wp:extent cx="3009900" cy="777240"/>
                <wp:effectExtent l="0" t="0" r="0" b="3810"/>
                <wp:wrapNone/>
                <wp:docPr id="15"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777240"/>
                        </a:xfrm>
                        <a:prstGeom prst="rect">
                          <a:avLst/>
                        </a:prstGeom>
                        <a:noFill/>
                        <a:ln w="6350">
                          <a:noFill/>
                        </a:ln>
                        <a:effectLst/>
                      </wps:spPr>
                      <wps:txbx>
                        <w:txbxContent>
                          <w:p w14:paraId="0DE04233" w14:textId="14144CD4" w:rsidR="00E92240" w:rsidRPr="004A4752" w:rsidRDefault="0095350E" w:rsidP="00E92240">
                            <w:pPr>
                              <w:spacing w:after="0" w:line="276" w:lineRule="auto"/>
                              <w:jc w:val="center"/>
                              <w:rPr>
                                <w:rFonts w:ascii="Times New Roman" w:hAnsi="Times New Roman"/>
                                <w:bCs/>
                                <w:iCs/>
                                <w:color w:val="000000"/>
                                <w:sz w:val="24"/>
                                <w:szCs w:val="24"/>
                                <w:vertAlign w:val="superscript"/>
                              </w:rPr>
                            </w:pPr>
                            <w:r w:rsidRPr="0095350E">
                              <w:rPr>
                                <w:rFonts w:ascii="Times New Roman" w:hAnsi="Times New Roman"/>
                                <w:bCs/>
                                <w:iCs/>
                                <w:color w:val="000000"/>
                                <w:sz w:val="24"/>
                                <w:szCs w:val="24"/>
                              </w:rPr>
                              <w:t>Wendy Luz</w:t>
                            </w:r>
                            <w:r>
                              <w:rPr>
                                <w:rFonts w:ascii="Times New Roman" w:hAnsi="Times New Roman"/>
                                <w:bCs/>
                                <w:iCs/>
                                <w:color w:val="000000"/>
                                <w:sz w:val="24"/>
                                <w:szCs w:val="24"/>
                              </w:rPr>
                              <w:t xml:space="preserve"> </w:t>
                            </w:r>
                            <w:r w:rsidRPr="0095350E">
                              <w:rPr>
                                <w:rFonts w:ascii="Times New Roman" w:hAnsi="Times New Roman"/>
                                <w:bCs/>
                                <w:iCs/>
                                <w:color w:val="000000"/>
                                <w:sz w:val="24"/>
                                <w:szCs w:val="24"/>
                              </w:rPr>
                              <w:t>Pin Castro</w:t>
                            </w:r>
                            <w:r w:rsidR="00D709E2" w:rsidRPr="00E73CF9">
                              <w:rPr>
                                <w:rFonts w:ascii="Times New Roman" w:hAnsi="Times New Roman"/>
                                <w:bCs/>
                                <w:iCs/>
                                <w:color w:val="000000"/>
                                <w:sz w:val="24"/>
                                <w:szCs w:val="24"/>
                              </w:rPr>
                              <w:t xml:space="preserve"> </w:t>
                            </w:r>
                            <w:r w:rsidR="00E92240" w:rsidRPr="004A4752">
                              <w:rPr>
                                <w:rFonts w:ascii="Times New Roman" w:hAnsi="Times New Roman"/>
                                <w:bCs/>
                                <w:iCs/>
                                <w:color w:val="000000"/>
                                <w:sz w:val="24"/>
                                <w:szCs w:val="24"/>
                                <w:vertAlign w:val="superscript"/>
                              </w:rPr>
                              <w:t>I</w:t>
                            </w:r>
                            <w:r w:rsidR="00E92240">
                              <w:rPr>
                                <w:rFonts w:ascii="Times New Roman" w:hAnsi="Times New Roman"/>
                                <w:bCs/>
                                <w:iCs/>
                                <w:color w:val="000000"/>
                                <w:sz w:val="24"/>
                                <w:szCs w:val="24"/>
                                <w:vertAlign w:val="superscript"/>
                              </w:rPr>
                              <w:t>I</w:t>
                            </w:r>
                          </w:p>
                          <w:p w14:paraId="6F584D5B" w14:textId="08313AA2" w:rsidR="00E92240" w:rsidRPr="003A04CC" w:rsidRDefault="0095350E" w:rsidP="00E92240">
                            <w:pPr>
                              <w:spacing w:after="0" w:line="276" w:lineRule="auto"/>
                              <w:jc w:val="center"/>
                              <w:rPr>
                                <w:rStyle w:val="Hipervnculo"/>
                                <w:u w:val="none"/>
                              </w:rPr>
                            </w:pPr>
                            <w:r w:rsidRPr="0095350E">
                              <w:rPr>
                                <w:rStyle w:val="Hipervnculo"/>
                                <w:rFonts w:ascii="Times New Roman" w:hAnsi="Times New Roman"/>
                                <w:sz w:val="24"/>
                                <w:szCs w:val="24"/>
                                <w:u w:val="none"/>
                              </w:rPr>
                              <w:t>wendy.pin@unesum.edu.ec</w:t>
                            </w:r>
                          </w:p>
                          <w:p w14:paraId="299C8A0E" w14:textId="49550991" w:rsidR="00E92240" w:rsidRPr="001D05FC" w:rsidRDefault="00E73CF9" w:rsidP="00E92240">
                            <w:pPr>
                              <w:spacing w:after="0" w:line="276" w:lineRule="auto"/>
                              <w:jc w:val="center"/>
                              <w:rPr>
                                <w:rStyle w:val="Hipervnculo"/>
                                <w:rFonts w:ascii="Times New Roman" w:hAnsi="Times New Roman"/>
                                <w:sz w:val="24"/>
                                <w:szCs w:val="24"/>
                                <w:u w:val="none"/>
                              </w:rPr>
                            </w:pPr>
                            <w:r w:rsidRPr="00E73CF9">
                              <w:rPr>
                                <w:rStyle w:val="Hipervnculo"/>
                                <w:rFonts w:ascii="Times New Roman" w:hAnsi="Times New Roman"/>
                                <w:sz w:val="24"/>
                                <w:szCs w:val="24"/>
                                <w:u w:val="none"/>
                              </w:rPr>
                              <w:t>https://orcid.org/</w:t>
                            </w:r>
                            <w:r w:rsidR="0095350E" w:rsidRPr="0095350E">
                              <w:rPr>
                                <w:rStyle w:val="Hipervnculo"/>
                                <w:rFonts w:ascii="Times New Roman" w:hAnsi="Times New Roman"/>
                                <w:sz w:val="24"/>
                                <w:szCs w:val="24"/>
                                <w:u w:val="none"/>
                              </w:rPr>
                              <w:t>0009-0005-8511-9581</w:t>
                            </w:r>
                          </w:p>
                          <w:p w14:paraId="7569076F" w14:textId="77777777" w:rsidR="00E92240" w:rsidRPr="00B05B17" w:rsidRDefault="00E92240" w:rsidP="00E92240">
                            <w:pPr>
                              <w:spacing w:after="0" w:line="276" w:lineRule="auto"/>
                              <w:jc w:val="center"/>
                              <w:rPr>
                                <w:rFonts w:ascii="Times New Roman" w:hAnsi="Times New Roman"/>
                                <w:bCs/>
                                <w:iCs/>
                                <w:color w:val="000000"/>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82779" id="_x0000_t202" coordsize="21600,21600" o:spt="202" path="m,l,21600r21600,l21600,xe">
                <v:stroke joinstyle="miter"/>
                <v:path gradientshapeok="t" o:connecttype="rect"/>
              </v:shapetype>
              <v:shape id="Cuadro de texto 6" o:spid="_x0000_s1026" type="#_x0000_t202" style="position:absolute;left:0;text-align:left;margin-left:257.9pt;margin-top:2.15pt;width:237pt;height:61.2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" filled="f" stroked="f" strokeweight=".5pt">
                <v:textbox>
                  <w:txbxContent>
                    <w:p w14:paraId="0DE04233" w14:textId="14144CD4" w:rsidR="00E92240" w:rsidRPr="004A4752" w:rsidRDefault="0095350E" w:rsidP="00E92240">
                      <w:pPr>
                        <w:spacing w:after="0" w:line="276" w:lineRule="auto"/>
                        <w:jc w:val="center"/>
                        <w:rPr>
                          <w:rFonts w:ascii="Times New Roman" w:hAnsi="Times New Roman"/>
                          <w:bCs/>
                          <w:iCs/>
                          <w:color w:val="000000"/>
                          <w:sz w:val="24"/>
                          <w:szCs w:val="24"/>
                          <w:vertAlign w:val="superscript"/>
                        </w:rPr>
                      </w:pPr>
                      <w:r w:rsidRPr="0095350E">
                        <w:rPr>
                          <w:rFonts w:ascii="Times New Roman" w:hAnsi="Times New Roman"/>
                          <w:bCs/>
                          <w:iCs/>
                          <w:color w:val="000000"/>
                          <w:sz w:val="24"/>
                          <w:szCs w:val="24"/>
                        </w:rPr>
                        <w:t>Wendy Luz</w:t>
                      </w:r>
                      <w:r>
                        <w:rPr>
                          <w:rFonts w:ascii="Times New Roman" w:hAnsi="Times New Roman"/>
                          <w:bCs/>
                          <w:iCs/>
                          <w:color w:val="000000"/>
                          <w:sz w:val="24"/>
                          <w:szCs w:val="24"/>
                        </w:rPr>
                        <w:t xml:space="preserve"> </w:t>
                      </w:r>
                      <w:r w:rsidRPr="0095350E">
                        <w:rPr>
                          <w:rFonts w:ascii="Times New Roman" w:hAnsi="Times New Roman"/>
                          <w:bCs/>
                          <w:iCs/>
                          <w:color w:val="000000"/>
                          <w:sz w:val="24"/>
                          <w:szCs w:val="24"/>
                        </w:rPr>
                        <w:t>Pin Castro</w:t>
                      </w:r>
                      <w:r w:rsidR="00D709E2" w:rsidRPr="00E73CF9">
                        <w:rPr>
                          <w:rFonts w:ascii="Times New Roman" w:hAnsi="Times New Roman"/>
                          <w:bCs/>
                          <w:iCs/>
                          <w:color w:val="000000"/>
                          <w:sz w:val="24"/>
                          <w:szCs w:val="24"/>
                        </w:rPr>
                        <w:t xml:space="preserve"> </w:t>
                      </w:r>
                      <w:r w:rsidR="00E92240" w:rsidRPr="004A4752">
                        <w:rPr>
                          <w:rFonts w:ascii="Times New Roman" w:hAnsi="Times New Roman"/>
                          <w:bCs/>
                          <w:iCs/>
                          <w:color w:val="000000"/>
                          <w:sz w:val="24"/>
                          <w:szCs w:val="24"/>
                          <w:vertAlign w:val="superscript"/>
                        </w:rPr>
                        <w:t>I</w:t>
                      </w:r>
                      <w:r w:rsidR="00E92240">
                        <w:rPr>
                          <w:rFonts w:ascii="Times New Roman" w:hAnsi="Times New Roman"/>
                          <w:bCs/>
                          <w:iCs/>
                          <w:color w:val="000000"/>
                          <w:sz w:val="24"/>
                          <w:szCs w:val="24"/>
                          <w:vertAlign w:val="superscript"/>
                        </w:rPr>
                        <w:t>I</w:t>
                      </w:r>
                    </w:p>
                    <w:p w14:paraId="6F584D5B" w14:textId="08313AA2" w:rsidR="00E92240" w:rsidRPr="003A04CC" w:rsidRDefault="0095350E" w:rsidP="00E92240">
                      <w:pPr>
                        <w:spacing w:after="0" w:line="276" w:lineRule="auto"/>
                        <w:jc w:val="center"/>
                        <w:rPr>
                          <w:rStyle w:val="Hipervnculo"/>
                          <w:u w:val="none"/>
                        </w:rPr>
                      </w:pPr>
                      <w:r w:rsidRPr="0095350E">
                        <w:rPr>
                          <w:rStyle w:val="Hipervnculo"/>
                          <w:rFonts w:ascii="Times New Roman" w:hAnsi="Times New Roman"/>
                          <w:sz w:val="24"/>
                          <w:szCs w:val="24"/>
                          <w:u w:val="none"/>
                        </w:rPr>
                        <w:t>wendy.pin@unesum.edu.ec</w:t>
                      </w:r>
                    </w:p>
                    <w:p w14:paraId="299C8A0E" w14:textId="49550991" w:rsidR="00E92240" w:rsidRPr="001D05FC" w:rsidRDefault="00E73CF9" w:rsidP="00E92240">
                      <w:pPr>
                        <w:spacing w:after="0" w:line="276" w:lineRule="auto"/>
                        <w:jc w:val="center"/>
                        <w:rPr>
                          <w:rStyle w:val="Hipervnculo"/>
                          <w:rFonts w:ascii="Times New Roman" w:hAnsi="Times New Roman"/>
                          <w:sz w:val="24"/>
                          <w:szCs w:val="24"/>
                          <w:u w:val="none"/>
                        </w:rPr>
                      </w:pPr>
                      <w:r w:rsidRPr="00E73CF9">
                        <w:rPr>
                          <w:rStyle w:val="Hipervnculo"/>
                          <w:rFonts w:ascii="Times New Roman" w:hAnsi="Times New Roman"/>
                          <w:sz w:val="24"/>
                          <w:szCs w:val="24"/>
                          <w:u w:val="none"/>
                        </w:rPr>
                        <w:t>https://orcid.org/</w:t>
                      </w:r>
                      <w:r w:rsidR="0095350E" w:rsidRPr="0095350E">
                        <w:rPr>
                          <w:rStyle w:val="Hipervnculo"/>
                          <w:rFonts w:ascii="Times New Roman" w:hAnsi="Times New Roman"/>
                          <w:sz w:val="24"/>
                          <w:szCs w:val="24"/>
                          <w:u w:val="none"/>
                        </w:rPr>
                        <w:t>0009-0005-8511-9581</w:t>
                      </w:r>
                    </w:p>
                    <w:p w14:paraId="7569076F" w14:textId="77777777" w:rsidR="00E92240" w:rsidRPr="00B05B17" w:rsidRDefault="00E92240" w:rsidP="00E92240">
                      <w:pPr>
                        <w:spacing w:after="0" w:line="276" w:lineRule="auto"/>
                        <w:jc w:val="center"/>
                        <w:rPr>
                          <w:rFonts w:ascii="Times New Roman" w:hAnsi="Times New Roman"/>
                          <w:bCs/>
                          <w:iCs/>
                          <w:color w:val="000000"/>
                          <w:sz w:val="24"/>
                          <w:szCs w:val="28"/>
                        </w:rPr>
                      </w:pP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23EFC0D3" wp14:editId="3A573073">
                <wp:simplePos x="0" y="0"/>
                <wp:positionH relativeFrom="margin">
                  <wp:posOffset>204470</wp:posOffset>
                </wp:positionH>
                <wp:positionV relativeFrom="paragraph">
                  <wp:posOffset>19685</wp:posOffset>
                </wp:positionV>
                <wp:extent cx="2834640" cy="777240"/>
                <wp:effectExtent l="0" t="0" r="0" b="3810"/>
                <wp:wrapNone/>
                <wp:docPr id="1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4640" cy="777240"/>
                        </a:xfrm>
                        <a:prstGeom prst="rect">
                          <a:avLst/>
                        </a:prstGeom>
                        <a:noFill/>
                        <a:ln w="6350">
                          <a:noFill/>
                        </a:ln>
                        <a:effectLst/>
                      </wps:spPr>
                      <wps:txbx>
                        <w:txbxContent>
                          <w:p w14:paraId="3A8F54C4" w14:textId="0DF4F884" w:rsidR="00251DF0" w:rsidRPr="004A4752" w:rsidRDefault="0095350E" w:rsidP="00251DF0">
                            <w:pPr>
                              <w:spacing w:after="0" w:line="276" w:lineRule="auto"/>
                              <w:jc w:val="center"/>
                              <w:rPr>
                                <w:rFonts w:ascii="Times New Roman" w:hAnsi="Times New Roman"/>
                                <w:bCs/>
                                <w:iCs/>
                                <w:color w:val="000000"/>
                                <w:sz w:val="24"/>
                                <w:szCs w:val="24"/>
                                <w:vertAlign w:val="superscript"/>
                              </w:rPr>
                            </w:pPr>
                            <w:r w:rsidRPr="0095350E">
                              <w:rPr>
                                <w:rFonts w:ascii="Times New Roman" w:hAnsi="Times New Roman"/>
                                <w:bCs/>
                                <w:iCs/>
                                <w:color w:val="000000"/>
                                <w:sz w:val="24"/>
                                <w:szCs w:val="24"/>
                              </w:rPr>
                              <w:t>Alejandro Xavier</w:t>
                            </w:r>
                            <w:r>
                              <w:rPr>
                                <w:rFonts w:ascii="Times New Roman" w:hAnsi="Times New Roman"/>
                                <w:bCs/>
                                <w:iCs/>
                                <w:color w:val="000000"/>
                                <w:sz w:val="24"/>
                                <w:szCs w:val="24"/>
                              </w:rPr>
                              <w:t xml:space="preserve"> </w:t>
                            </w:r>
                            <w:r w:rsidRPr="0095350E">
                              <w:rPr>
                                <w:rFonts w:ascii="Times New Roman" w:hAnsi="Times New Roman"/>
                                <w:bCs/>
                                <w:iCs/>
                                <w:color w:val="000000"/>
                                <w:sz w:val="24"/>
                                <w:szCs w:val="24"/>
                              </w:rPr>
                              <w:t>Lara Borja</w:t>
                            </w:r>
                            <w:r w:rsidR="00BA531B" w:rsidRPr="00BA531B">
                              <w:rPr>
                                <w:rFonts w:ascii="Times New Roman" w:hAnsi="Times New Roman"/>
                                <w:bCs/>
                                <w:iCs/>
                                <w:color w:val="000000"/>
                                <w:sz w:val="24"/>
                                <w:szCs w:val="24"/>
                              </w:rPr>
                              <w:t xml:space="preserve"> </w:t>
                            </w:r>
                            <w:r w:rsidR="00251DF0" w:rsidRPr="004A4752">
                              <w:rPr>
                                <w:rFonts w:ascii="Times New Roman" w:hAnsi="Times New Roman"/>
                                <w:bCs/>
                                <w:iCs/>
                                <w:color w:val="000000"/>
                                <w:sz w:val="24"/>
                                <w:szCs w:val="24"/>
                                <w:vertAlign w:val="superscript"/>
                              </w:rPr>
                              <w:t>I</w:t>
                            </w:r>
                          </w:p>
                          <w:p w14:paraId="123E8024" w14:textId="773BF2A2" w:rsidR="00B05B17" w:rsidRPr="003A04CC" w:rsidRDefault="0095350E" w:rsidP="00EF01A3">
                            <w:pPr>
                              <w:spacing w:after="0" w:line="276" w:lineRule="auto"/>
                              <w:jc w:val="center"/>
                              <w:rPr>
                                <w:rStyle w:val="Hipervnculo"/>
                                <w:u w:val="none"/>
                              </w:rPr>
                            </w:pPr>
                            <w:r w:rsidRPr="0095350E">
                              <w:rPr>
                                <w:rStyle w:val="Hipervnculo"/>
                                <w:rFonts w:ascii="Times New Roman" w:hAnsi="Times New Roman"/>
                                <w:sz w:val="24"/>
                                <w:szCs w:val="24"/>
                                <w:u w:val="none"/>
                              </w:rPr>
                              <w:t>dralejandrolara@hotmail.com</w:t>
                            </w:r>
                          </w:p>
                          <w:p w14:paraId="37AA7D6A" w14:textId="65CB9D7D" w:rsidR="00F241AF" w:rsidRPr="001D05FC" w:rsidRDefault="00BA531B" w:rsidP="00EF01A3">
                            <w:pPr>
                              <w:spacing w:after="0" w:line="276" w:lineRule="auto"/>
                              <w:jc w:val="center"/>
                              <w:rPr>
                                <w:rStyle w:val="Hipervnculo"/>
                                <w:rFonts w:ascii="Times New Roman" w:hAnsi="Times New Roman"/>
                                <w:sz w:val="24"/>
                                <w:szCs w:val="24"/>
                                <w:u w:val="none"/>
                              </w:rPr>
                            </w:pPr>
                            <w:r w:rsidRPr="00BA531B">
                              <w:rPr>
                                <w:rStyle w:val="Hipervnculo"/>
                                <w:rFonts w:ascii="Times New Roman" w:hAnsi="Times New Roman"/>
                                <w:sz w:val="24"/>
                                <w:szCs w:val="24"/>
                                <w:u w:val="none"/>
                              </w:rPr>
                              <w:t>https://orcid.org/</w:t>
                            </w:r>
                            <w:r w:rsidR="0095350E" w:rsidRPr="0095350E">
                              <w:rPr>
                                <w:rStyle w:val="Hipervnculo"/>
                                <w:rFonts w:ascii="Times New Roman" w:hAnsi="Times New Roman"/>
                                <w:sz w:val="24"/>
                                <w:szCs w:val="24"/>
                                <w:u w:val="none"/>
                              </w:rPr>
                              <w:t>0009-0005-1679-2051</w:t>
                            </w:r>
                          </w:p>
                          <w:p w14:paraId="68FA8F3B" w14:textId="77777777" w:rsidR="00B05B17" w:rsidRPr="00B05B17" w:rsidRDefault="00B05B17" w:rsidP="00EF01A3">
                            <w:pPr>
                              <w:spacing w:after="0" w:line="276" w:lineRule="auto"/>
                              <w:jc w:val="center"/>
                              <w:rPr>
                                <w:rFonts w:ascii="Times New Roman" w:hAnsi="Times New Roman"/>
                                <w:bCs/>
                                <w:iCs/>
                                <w:color w:val="000000"/>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C0D3" id="_x0000_s1027" type="#_x0000_t202" style="position:absolute;left:0;text-align:left;margin-left:16.1pt;margin-top:1.55pt;width:223.2pt;height:61.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" filled="f" stroked="f" strokeweight=".5pt">
                <v:textbox>
                  <w:txbxContent>
                    <w:p w14:paraId="3A8F54C4" w14:textId="0DF4F884" w:rsidR="00251DF0" w:rsidRPr="004A4752" w:rsidRDefault="0095350E" w:rsidP="00251DF0">
                      <w:pPr>
                        <w:spacing w:after="0" w:line="276" w:lineRule="auto"/>
                        <w:jc w:val="center"/>
                        <w:rPr>
                          <w:rFonts w:ascii="Times New Roman" w:hAnsi="Times New Roman"/>
                          <w:bCs/>
                          <w:iCs/>
                          <w:color w:val="000000"/>
                          <w:sz w:val="24"/>
                          <w:szCs w:val="24"/>
                          <w:vertAlign w:val="superscript"/>
                        </w:rPr>
                      </w:pPr>
                      <w:r w:rsidRPr="0095350E">
                        <w:rPr>
                          <w:rFonts w:ascii="Times New Roman" w:hAnsi="Times New Roman"/>
                          <w:bCs/>
                          <w:iCs/>
                          <w:color w:val="000000"/>
                          <w:sz w:val="24"/>
                          <w:szCs w:val="24"/>
                        </w:rPr>
                        <w:t>Alejandro Xavier</w:t>
                      </w:r>
                      <w:r>
                        <w:rPr>
                          <w:rFonts w:ascii="Times New Roman" w:hAnsi="Times New Roman"/>
                          <w:bCs/>
                          <w:iCs/>
                          <w:color w:val="000000"/>
                          <w:sz w:val="24"/>
                          <w:szCs w:val="24"/>
                        </w:rPr>
                        <w:t xml:space="preserve"> </w:t>
                      </w:r>
                      <w:r w:rsidRPr="0095350E">
                        <w:rPr>
                          <w:rFonts w:ascii="Times New Roman" w:hAnsi="Times New Roman"/>
                          <w:bCs/>
                          <w:iCs/>
                          <w:color w:val="000000"/>
                          <w:sz w:val="24"/>
                          <w:szCs w:val="24"/>
                        </w:rPr>
                        <w:t>Lara Borja</w:t>
                      </w:r>
                      <w:r w:rsidR="00BA531B" w:rsidRPr="00BA531B">
                        <w:rPr>
                          <w:rFonts w:ascii="Times New Roman" w:hAnsi="Times New Roman"/>
                          <w:bCs/>
                          <w:iCs/>
                          <w:color w:val="000000"/>
                          <w:sz w:val="24"/>
                          <w:szCs w:val="24"/>
                        </w:rPr>
                        <w:t xml:space="preserve"> </w:t>
                      </w:r>
                      <w:r w:rsidR="00251DF0" w:rsidRPr="004A4752">
                        <w:rPr>
                          <w:rFonts w:ascii="Times New Roman" w:hAnsi="Times New Roman"/>
                          <w:bCs/>
                          <w:iCs/>
                          <w:color w:val="000000"/>
                          <w:sz w:val="24"/>
                          <w:szCs w:val="24"/>
                          <w:vertAlign w:val="superscript"/>
                        </w:rPr>
                        <w:t>I</w:t>
                      </w:r>
                    </w:p>
                    <w:p w14:paraId="123E8024" w14:textId="773BF2A2" w:rsidR="00B05B17" w:rsidRPr="003A04CC" w:rsidRDefault="0095350E" w:rsidP="00EF01A3">
                      <w:pPr>
                        <w:spacing w:after="0" w:line="276" w:lineRule="auto"/>
                        <w:jc w:val="center"/>
                        <w:rPr>
                          <w:rStyle w:val="Hipervnculo"/>
                          <w:u w:val="none"/>
                        </w:rPr>
                      </w:pPr>
                      <w:r w:rsidRPr="0095350E">
                        <w:rPr>
                          <w:rStyle w:val="Hipervnculo"/>
                          <w:rFonts w:ascii="Times New Roman" w:hAnsi="Times New Roman"/>
                          <w:sz w:val="24"/>
                          <w:szCs w:val="24"/>
                          <w:u w:val="none"/>
                        </w:rPr>
                        <w:t>dralejandrolara@hotmail.com</w:t>
                      </w:r>
                    </w:p>
                    <w:p w14:paraId="37AA7D6A" w14:textId="65CB9D7D" w:rsidR="00F241AF" w:rsidRPr="001D05FC" w:rsidRDefault="00BA531B" w:rsidP="00EF01A3">
                      <w:pPr>
                        <w:spacing w:after="0" w:line="276" w:lineRule="auto"/>
                        <w:jc w:val="center"/>
                        <w:rPr>
                          <w:rStyle w:val="Hipervnculo"/>
                          <w:rFonts w:ascii="Times New Roman" w:hAnsi="Times New Roman"/>
                          <w:sz w:val="24"/>
                          <w:szCs w:val="24"/>
                          <w:u w:val="none"/>
                        </w:rPr>
                      </w:pPr>
                      <w:r w:rsidRPr="00BA531B">
                        <w:rPr>
                          <w:rStyle w:val="Hipervnculo"/>
                          <w:rFonts w:ascii="Times New Roman" w:hAnsi="Times New Roman"/>
                          <w:sz w:val="24"/>
                          <w:szCs w:val="24"/>
                          <w:u w:val="none"/>
                        </w:rPr>
                        <w:t>https://orcid.org/</w:t>
                      </w:r>
                      <w:r w:rsidR="0095350E" w:rsidRPr="0095350E">
                        <w:rPr>
                          <w:rStyle w:val="Hipervnculo"/>
                          <w:rFonts w:ascii="Times New Roman" w:hAnsi="Times New Roman"/>
                          <w:sz w:val="24"/>
                          <w:szCs w:val="24"/>
                          <w:u w:val="none"/>
                        </w:rPr>
                        <w:t>0009-0005-1679-2051</w:t>
                      </w:r>
                    </w:p>
                    <w:p w14:paraId="68FA8F3B" w14:textId="77777777" w:rsidR="00B05B17" w:rsidRPr="00B05B17" w:rsidRDefault="00B05B17" w:rsidP="00EF01A3">
                      <w:pPr>
                        <w:spacing w:after="0" w:line="276" w:lineRule="auto"/>
                        <w:jc w:val="center"/>
                        <w:rPr>
                          <w:rFonts w:ascii="Times New Roman" w:hAnsi="Times New Roman"/>
                          <w:bCs/>
                          <w:iCs/>
                          <w:color w:val="000000"/>
                          <w:sz w:val="24"/>
                          <w:szCs w:val="28"/>
                        </w:rPr>
                      </w:pPr>
                    </w:p>
                  </w:txbxContent>
                </v:textbox>
                <w10:wrap anchorx="margin"/>
              </v:shape>
            </w:pict>
          </mc:Fallback>
        </mc:AlternateContent>
      </w:r>
    </w:p>
    <w:p w14:paraId="1A906031" w14:textId="0CB9DBDF" w:rsidR="00251DF0" w:rsidRDefault="00251DF0" w:rsidP="00027B53">
      <w:pPr>
        <w:spacing w:after="0"/>
        <w:jc w:val="center"/>
        <w:rPr>
          <w:rFonts w:ascii="Times New Roman" w:eastAsia="Times New Roman" w:hAnsi="Times New Roman"/>
          <w:b/>
          <w:i/>
          <w:sz w:val="28"/>
          <w:szCs w:val="26"/>
        </w:rPr>
      </w:pPr>
    </w:p>
    <w:p w14:paraId="08861ED9" w14:textId="7B4A2B2C" w:rsidR="007141AA" w:rsidRDefault="007141AA" w:rsidP="00027B53">
      <w:pPr>
        <w:spacing w:after="0"/>
        <w:jc w:val="center"/>
        <w:rPr>
          <w:rFonts w:ascii="Times New Roman" w:eastAsia="Times New Roman" w:hAnsi="Times New Roman"/>
          <w:b/>
          <w:i/>
          <w:sz w:val="28"/>
          <w:szCs w:val="26"/>
        </w:rPr>
      </w:pPr>
    </w:p>
    <w:p w14:paraId="4B576B32" w14:textId="6819715A" w:rsidR="007141AA" w:rsidRDefault="001C2584" w:rsidP="00027B53">
      <w:pPr>
        <w:spacing w:after="0"/>
        <w:jc w:val="center"/>
        <w:rPr>
          <w:rFonts w:ascii="Times New Roman" w:eastAsia="Times New Roman" w:hAnsi="Times New Roman"/>
          <w:b/>
          <w:i/>
          <w:sz w:val="28"/>
          <w:szCs w:val="26"/>
        </w:rPr>
      </w:pPr>
      <w:r>
        <w:rPr>
          <w:noProof/>
        </w:rPr>
        <mc:AlternateContent>
          <mc:Choice Requires="wps">
            <w:drawing>
              <wp:anchor distT="0" distB="0" distL="114300" distR="114300" simplePos="0" relativeHeight="251665920" behindDoc="0" locked="0" layoutInCell="1" allowOverlap="1" wp14:anchorId="0CAEC7BD" wp14:editId="3C286AA4">
                <wp:simplePos x="0" y="0"/>
                <wp:positionH relativeFrom="margin">
                  <wp:posOffset>3429000</wp:posOffset>
                </wp:positionH>
                <wp:positionV relativeFrom="paragraph">
                  <wp:posOffset>102235</wp:posOffset>
                </wp:positionV>
                <wp:extent cx="2834640" cy="777240"/>
                <wp:effectExtent l="0" t="0" r="0" b="3810"/>
                <wp:wrapNone/>
                <wp:docPr id="1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4640" cy="777240"/>
                        </a:xfrm>
                        <a:prstGeom prst="rect">
                          <a:avLst/>
                        </a:prstGeom>
                        <a:noFill/>
                        <a:ln w="6350">
                          <a:noFill/>
                        </a:ln>
                        <a:effectLst/>
                      </wps:spPr>
                      <wps:txbx>
                        <w:txbxContent>
                          <w:p w14:paraId="78BF9219" w14:textId="3609052C" w:rsidR="001C2584" w:rsidRPr="004A4752" w:rsidRDefault="0095350E" w:rsidP="001C2584">
                            <w:pPr>
                              <w:spacing w:after="0" w:line="276" w:lineRule="auto"/>
                              <w:jc w:val="center"/>
                              <w:rPr>
                                <w:rFonts w:ascii="Times New Roman" w:hAnsi="Times New Roman"/>
                                <w:bCs/>
                                <w:iCs/>
                                <w:color w:val="000000"/>
                                <w:sz w:val="24"/>
                                <w:szCs w:val="24"/>
                                <w:vertAlign w:val="superscript"/>
                              </w:rPr>
                            </w:pPr>
                            <w:r w:rsidRPr="0095350E">
                              <w:rPr>
                                <w:rFonts w:ascii="Times New Roman" w:hAnsi="Times New Roman"/>
                                <w:bCs/>
                                <w:iCs/>
                                <w:color w:val="000000"/>
                                <w:sz w:val="24"/>
                                <w:szCs w:val="24"/>
                              </w:rPr>
                              <w:t>Leonardo Flavio</w:t>
                            </w:r>
                            <w:r w:rsidRPr="0095350E">
                              <w:t xml:space="preserve"> </w:t>
                            </w:r>
                            <w:r w:rsidRPr="0095350E">
                              <w:rPr>
                                <w:rFonts w:ascii="Times New Roman" w:hAnsi="Times New Roman"/>
                                <w:bCs/>
                                <w:iCs/>
                                <w:color w:val="000000"/>
                                <w:sz w:val="24"/>
                                <w:szCs w:val="24"/>
                              </w:rPr>
                              <w:t>Suarez Orna</w:t>
                            </w:r>
                            <w:r w:rsidR="00E73CF9" w:rsidRPr="00E73CF9">
                              <w:rPr>
                                <w:rFonts w:ascii="Times New Roman" w:hAnsi="Times New Roman"/>
                                <w:bCs/>
                                <w:iCs/>
                                <w:color w:val="000000"/>
                                <w:sz w:val="24"/>
                                <w:szCs w:val="24"/>
                              </w:rPr>
                              <w:t xml:space="preserve"> </w:t>
                            </w:r>
                            <w:r w:rsidR="001C2584" w:rsidRPr="004A4752">
                              <w:rPr>
                                <w:rFonts w:ascii="Times New Roman" w:hAnsi="Times New Roman"/>
                                <w:bCs/>
                                <w:iCs/>
                                <w:color w:val="000000"/>
                                <w:sz w:val="24"/>
                                <w:szCs w:val="24"/>
                                <w:vertAlign w:val="superscript"/>
                              </w:rPr>
                              <w:t>I</w:t>
                            </w:r>
                            <w:r w:rsidR="001C2584">
                              <w:rPr>
                                <w:rFonts w:ascii="Times New Roman" w:hAnsi="Times New Roman"/>
                                <w:bCs/>
                                <w:iCs/>
                                <w:color w:val="000000"/>
                                <w:sz w:val="24"/>
                                <w:szCs w:val="24"/>
                                <w:vertAlign w:val="superscript"/>
                              </w:rPr>
                              <w:t>V</w:t>
                            </w:r>
                          </w:p>
                          <w:p w14:paraId="6854B25B" w14:textId="29FAEE03" w:rsidR="001C2584" w:rsidRPr="003A04CC" w:rsidRDefault="0095350E" w:rsidP="001C2584">
                            <w:pPr>
                              <w:spacing w:after="0" w:line="276" w:lineRule="auto"/>
                              <w:jc w:val="center"/>
                              <w:rPr>
                                <w:rStyle w:val="Hipervnculo"/>
                                <w:u w:val="none"/>
                              </w:rPr>
                            </w:pPr>
                            <w:r w:rsidRPr="0095350E">
                              <w:rPr>
                                <w:rStyle w:val="Hipervnculo"/>
                                <w:rFonts w:ascii="Times New Roman" w:hAnsi="Times New Roman"/>
                                <w:sz w:val="24"/>
                                <w:szCs w:val="24"/>
                                <w:u w:val="none"/>
                              </w:rPr>
                              <w:t>leonardosuarez.91@hotmail.com</w:t>
                            </w:r>
                          </w:p>
                          <w:p w14:paraId="144B2ED8" w14:textId="1D338C4C" w:rsidR="001C2584" w:rsidRPr="001D05FC" w:rsidRDefault="00E73CF9" w:rsidP="001C2584">
                            <w:pPr>
                              <w:spacing w:after="0" w:line="276" w:lineRule="auto"/>
                              <w:jc w:val="center"/>
                              <w:rPr>
                                <w:rStyle w:val="Hipervnculo"/>
                                <w:rFonts w:ascii="Times New Roman" w:hAnsi="Times New Roman"/>
                                <w:sz w:val="24"/>
                                <w:szCs w:val="24"/>
                                <w:u w:val="none"/>
                              </w:rPr>
                            </w:pPr>
                            <w:r w:rsidRPr="00E73CF9">
                              <w:rPr>
                                <w:rStyle w:val="Hipervnculo"/>
                                <w:rFonts w:ascii="Times New Roman" w:hAnsi="Times New Roman"/>
                                <w:sz w:val="24"/>
                                <w:szCs w:val="24"/>
                                <w:u w:val="none"/>
                              </w:rPr>
                              <w:t>https://orcid.org/</w:t>
                            </w:r>
                            <w:r w:rsidR="0095350E" w:rsidRPr="0095350E">
                              <w:rPr>
                                <w:rStyle w:val="Hipervnculo"/>
                                <w:rFonts w:ascii="Times New Roman" w:hAnsi="Times New Roman"/>
                                <w:sz w:val="24"/>
                                <w:szCs w:val="24"/>
                                <w:u w:val="none"/>
                              </w:rPr>
                              <w:t>0009-0004-2723-50340</w:t>
                            </w:r>
                          </w:p>
                          <w:p w14:paraId="2350C985" w14:textId="77777777" w:rsidR="001C2584" w:rsidRPr="00B05B17" w:rsidRDefault="001C2584" w:rsidP="001C2584">
                            <w:pPr>
                              <w:spacing w:after="0" w:line="276" w:lineRule="auto"/>
                              <w:jc w:val="center"/>
                              <w:rPr>
                                <w:rFonts w:ascii="Times New Roman" w:hAnsi="Times New Roman"/>
                                <w:bCs/>
                                <w:iCs/>
                                <w:color w:val="000000"/>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EC7BD" id="_x0000_s1028" type="#_x0000_t202" style="position:absolute;left:0;text-align:left;margin-left:270pt;margin-top:8.05pt;width:223.2pt;height:61.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" filled="f" stroked="f" strokeweight=".5pt">
                <v:textbox>
                  <w:txbxContent>
                    <w:p w14:paraId="78BF9219" w14:textId="3609052C" w:rsidR="001C2584" w:rsidRPr="004A4752" w:rsidRDefault="0095350E" w:rsidP="001C2584">
                      <w:pPr>
                        <w:spacing w:after="0" w:line="276" w:lineRule="auto"/>
                        <w:jc w:val="center"/>
                        <w:rPr>
                          <w:rFonts w:ascii="Times New Roman" w:hAnsi="Times New Roman"/>
                          <w:bCs/>
                          <w:iCs/>
                          <w:color w:val="000000"/>
                          <w:sz w:val="24"/>
                          <w:szCs w:val="24"/>
                          <w:vertAlign w:val="superscript"/>
                        </w:rPr>
                      </w:pPr>
                      <w:r w:rsidRPr="0095350E">
                        <w:rPr>
                          <w:rFonts w:ascii="Times New Roman" w:hAnsi="Times New Roman"/>
                          <w:bCs/>
                          <w:iCs/>
                          <w:color w:val="000000"/>
                          <w:sz w:val="24"/>
                          <w:szCs w:val="24"/>
                        </w:rPr>
                        <w:t>Leonardo Flavio</w:t>
                      </w:r>
                      <w:r w:rsidRPr="0095350E">
                        <w:t xml:space="preserve"> </w:t>
                      </w:r>
                      <w:r w:rsidRPr="0095350E">
                        <w:rPr>
                          <w:rFonts w:ascii="Times New Roman" w:hAnsi="Times New Roman"/>
                          <w:bCs/>
                          <w:iCs/>
                          <w:color w:val="000000"/>
                          <w:sz w:val="24"/>
                          <w:szCs w:val="24"/>
                        </w:rPr>
                        <w:t>Suarez Orna</w:t>
                      </w:r>
                      <w:r w:rsidR="00E73CF9" w:rsidRPr="00E73CF9">
                        <w:rPr>
                          <w:rFonts w:ascii="Times New Roman" w:hAnsi="Times New Roman"/>
                          <w:bCs/>
                          <w:iCs/>
                          <w:color w:val="000000"/>
                          <w:sz w:val="24"/>
                          <w:szCs w:val="24"/>
                        </w:rPr>
                        <w:t xml:space="preserve"> </w:t>
                      </w:r>
                      <w:r w:rsidR="001C2584" w:rsidRPr="004A4752">
                        <w:rPr>
                          <w:rFonts w:ascii="Times New Roman" w:hAnsi="Times New Roman"/>
                          <w:bCs/>
                          <w:iCs/>
                          <w:color w:val="000000"/>
                          <w:sz w:val="24"/>
                          <w:szCs w:val="24"/>
                          <w:vertAlign w:val="superscript"/>
                        </w:rPr>
                        <w:t>I</w:t>
                      </w:r>
                      <w:r w:rsidR="001C2584">
                        <w:rPr>
                          <w:rFonts w:ascii="Times New Roman" w:hAnsi="Times New Roman"/>
                          <w:bCs/>
                          <w:iCs/>
                          <w:color w:val="000000"/>
                          <w:sz w:val="24"/>
                          <w:szCs w:val="24"/>
                          <w:vertAlign w:val="superscript"/>
                        </w:rPr>
                        <w:t>V</w:t>
                      </w:r>
                    </w:p>
                    <w:p w14:paraId="6854B25B" w14:textId="29FAEE03" w:rsidR="001C2584" w:rsidRPr="003A04CC" w:rsidRDefault="0095350E" w:rsidP="001C2584">
                      <w:pPr>
                        <w:spacing w:after="0" w:line="276" w:lineRule="auto"/>
                        <w:jc w:val="center"/>
                        <w:rPr>
                          <w:rStyle w:val="Hipervnculo"/>
                          <w:u w:val="none"/>
                        </w:rPr>
                      </w:pPr>
                      <w:r w:rsidRPr="0095350E">
                        <w:rPr>
                          <w:rStyle w:val="Hipervnculo"/>
                          <w:rFonts w:ascii="Times New Roman" w:hAnsi="Times New Roman"/>
                          <w:sz w:val="24"/>
                          <w:szCs w:val="24"/>
                          <w:u w:val="none"/>
                        </w:rPr>
                        <w:t>leonardosuarez.91@hotmail.com</w:t>
                      </w:r>
                    </w:p>
                    <w:p w14:paraId="144B2ED8" w14:textId="1D338C4C" w:rsidR="001C2584" w:rsidRPr="001D05FC" w:rsidRDefault="00E73CF9" w:rsidP="001C2584">
                      <w:pPr>
                        <w:spacing w:after="0" w:line="276" w:lineRule="auto"/>
                        <w:jc w:val="center"/>
                        <w:rPr>
                          <w:rStyle w:val="Hipervnculo"/>
                          <w:rFonts w:ascii="Times New Roman" w:hAnsi="Times New Roman"/>
                          <w:sz w:val="24"/>
                          <w:szCs w:val="24"/>
                          <w:u w:val="none"/>
                        </w:rPr>
                      </w:pPr>
                      <w:r w:rsidRPr="00E73CF9">
                        <w:rPr>
                          <w:rStyle w:val="Hipervnculo"/>
                          <w:rFonts w:ascii="Times New Roman" w:hAnsi="Times New Roman"/>
                          <w:sz w:val="24"/>
                          <w:szCs w:val="24"/>
                          <w:u w:val="none"/>
                        </w:rPr>
                        <w:t>https://orcid.org/</w:t>
                      </w:r>
                      <w:r w:rsidR="0095350E" w:rsidRPr="0095350E">
                        <w:rPr>
                          <w:rStyle w:val="Hipervnculo"/>
                          <w:rFonts w:ascii="Times New Roman" w:hAnsi="Times New Roman"/>
                          <w:sz w:val="24"/>
                          <w:szCs w:val="24"/>
                          <w:u w:val="none"/>
                        </w:rPr>
                        <w:t>0009-0004-2723-50340</w:t>
                      </w:r>
                    </w:p>
                    <w:p w14:paraId="2350C985" w14:textId="77777777" w:rsidR="001C2584" w:rsidRPr="00B05B17" w:rsidRDefault="001C2584" w:rsidP="001C2584">
                      <w:pPr>
                        <w:spacing w:after="0" w:line="276" w:lineRule="auto"/>
                        <w:jc w:val="center"/>
                        <w:rPr>
                          <w:rFonts w:ascii="Times New Roman" w:hAnsi="Times New Roman"/>
                          <w:bCs/>
                          <w:iCs/>
                          <w:color w:val="000000"/>
                          <w:sz w:val="24"/>
                          <w:szCs w:val="28"/>
                        </w:rPr>
                      </w:pPr>
                    </w:p>
                  </w:txbxContent>
                </v:textbox>
                <w10:wrap anchorx="margin"/>
              </v:shape>
            </w:pict>
          </mc:Fallback>
        </mc:AlternateContent>
      </w:r>
      <w:r>
        <w:rPr>
          <w:noProof/>
        </w:rPr>
        <mc:AlternateContent>
          <mc:Choice Requires="wps">
            <w:drawing>
              <wp:anchor distT="0" distB="0" distL="114300" distR="114300" simplePos="0" relativeHeight="251661824" behindDoc="0" locked="0" layoutInCell="1" allowOverlap="1" wp14:anchorId="5708F9A5" wp14:editId="749E99C3">
                <wp:simplePos x="0" y="0"/>
                <wp:positionH relativeFrom="margin">
                  <wp:posOffset>227330</wp:posOffset>
                </wp:positionH>
                <wp:positionV relativeFrom="paragraph">
                  <wp:posOffset>125095</wp:posOffset>
                </wp:positionV>
                <wp:extent cx="2834640" cy="777240"/>
                <wp:effectExtent l="0" t="0" r="0" b="3810"/>
                <wp:wrapNone/>
                <wp:docPr id="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4640" cy="777240"/>
                        </a:xfrm>
                        <a:prstGeom prst="rect">
                          <a:avLst/>
                        </a:prstGeom>
                        <a:noFill/>
                        <a:ln w="6350">
                          <a:noFill/>
                        </a:ln>
                        <a:effectLst/>
                      </wps:spPr>
                      <wps:txbx>
                        <w:txbxContent>
                          <w:p w14:paraId="6F265216" w14:textId="13C1EFD8" w:rsidR="00E92240" w:rsidRPr="004A4752" w:rsidRDefault="0095350E" w:rsidP="00E92240">
                            <w:pPr>
                              <w:spacing w:after="0" w:line="276" w:lineRule="auto"/>
                              <w:jc w:val="center"/>
                              <w:rPr>
                                <w:rFonts w:ascii="Times New Roman" w:hAnsi="Times New Roman"/>
                                <w:bCs/>
                                <w:iCs/>
                                <w:color w:val="000000"/>
                                <w:sz w:val="24"/>
                                <w:szCs w:val="24"/>
                                <w:vertAlign w:val="superscript"/>
                              </w:rPr>
                            </w:pPr>
                            <w:proofErr w:type="spellStart"/>
                            <w:r w:rsidRPr="0095350E">
                              <w:rPr>
                                <w:rFonts w:ascii="Times New Roman" w:hAnsi="Times New Roman"/>
                                <w:bCs/>
                                <w:iCs/>
                                <w:color w:val="000000"/>
                                <w:sz w:val="24"/>
                                <w:szCs w:val="24"/>
                              </w:rPr>
                              <w:t>Jhon</w:t>
                            </w:r>
                            <w:proofErr w:type="spellEnd"/>
                            <w:r w:rsidRPr="0095350E">
                              <w:rPr>
                                <w:rFonts w:ascii="Times New Roman" w:hAnsi="Times New Roman"/>
                                <w:bCs/>
                                <w:iCs/>
                                <w:color w:val="000000"/>
                                <w:sz w:val="24"/>
                                <w:szCs w:val="24"/>
                              </w:rPr>
                              <w:t xml:space="preserve"> Kelvin</w:t>
                            </w:r>
                            <w:r w:rsidRPr="0095350E">
                              <w:t xml:space="preserve"> </w:t>
                            </w:r>
                            <w:r w:rsidRPr="0095350E">
                              <w:rPr>
                                <w:rFonts w:ascii="Times New Roman" w:hAnsi="Times New Roman"/>
                                <w:bCs/>
                                <w:iCs/>
                                <w:color w:val="000000"/>
                                <w:sz w:val="24"/>
                                <w:szCs w:val="24"/>
                              </w:rPr>
                              <w:t>Ortiz Zambrano</w:t>
                            </w:r>
                            <w:r w:rsidR="00E73CF9" w:rsidRPr="00E73CF9">
                              <w:rPr>
                                <w:rFonts w:ascii="Times New Roman" w:hAnsi="Times New Roman"/>
                                <w:bCs/>
                                <w:iCs/>
                                <w:color w:val="000000"/>
                                <w:sz w:val="24"/>
                                <w:szCs w:val="24"/>
                              </w:rPr>
                              <w:t xml:space="preserve"> </w:t>
                            </w:r>
                            <w:r w:rsidR="00E92240" w:rsidRPr="004A4752">
                              <w:rPr>
                                <w:rFonts w:ascii="Times New Roman" w:hAnsi="Times New Roman"/>
                                <w:bCs/>
                                <w:iCs/>
                                <w:color w:val="000000"/>
                                <w:sz w:val="24"/>
                                <w:szCs w:val="24"/>
                                <w:vertAlign w:val="superscript"/>
                              </w:rPr>
                              <w:t>I</w:t>
                            </w:r>
                            <w:r w:rsidR="00E92240">
                              <w:rPr>
                                <w:rFonts w:ascii="Times New Roman" w:hAnsi="Times New Roman"/>
                                <w:bCs/>
                                <w:iCs/>
                                <w:color w:val="000000"/>
                                <w:sz w:val="24"/>
                                <w:szCs w:val="24"/>
                                <w:vertAlign w:val="superscript"/>
                              </w:rPr>
                              <w:t>II</w:t>
                            </w:r>
                          </w:p>
                          <w:p w14:paraId="2C280F01" w14:textId="0DB31568" w:rsidR="00E92240" w:rsidRPr="003A04CC" w:rsidRDefault="0095350E" w:rsidP="00E92240">
                            <w:pPr>
                              <w:spacing w:after="0" w:line="276" w:lineRule="auto"/>
                              <w:jc w:val="center"/>
                              <w:rPr>
                                <w:rStyle w:val="Hipervnculo"/>
                                <w:u w:val="none"/>
                              </w:rPr>
                            </w:pPr>
                            <w:r w:rsidRPr="0095350E">
                              <w:rPr>
                                <w:rStyle w:val="Hipervnculo"/>
                                <w:rFonts w:ascii="Times New Roman" w:hAnsi="Times New Roman"/>
                                <w:sz w:val="24"/>
                                <w:szCs w:val="24"/>
                                <w:u w:val="none"/>
                              </w:rPr>
                              <w:t>jhonortiz@utm.edu.ec</w:t>
                            </w:r>
                          </w:p>
                          <w:p w14:paraId="17D45A54" w14:textId="1842D9B1" w:rsidR="00E92240" w:rsidRPr="001D05FC" w:rsidRDefault="00E73CF9" w:rsidP="00E92240">
                            <w:pPr>
                              <w:spacing w:after="0" w:line="276" w:lineRule="auto"/>
                              <w:jc w:val="center"/>
                              <w:rPr>
                                <w:rStyle w:val="Hipervnculo"/>
                                <w:rFonts w:ascii="Times New Roman" w:hAnsi="Times New Roman"/>
                                <w:sz w:val="24"/>
                                <w:szCs w:val="24"/>
                                <w:u w:val="none"/>
                              </w:rPr>
                            </w:pPr>
                            <w:r w:rsidRPr="00E73CF9">
                              <w:rPr>
                                <w:rStyle w:val="Hipervnculo"/>
                                <w:rFonts w:ascii="Times New Roman" w:hAnsi="Times New Roman"/>
                                <w:sz w:val="24"/>
                                <w:szCs w:val="24"/>
                                <w:u w:val="none"/>
                              </w:rPr>
                              <w:t>https://orcid.org/</w:t>
                            </w:r>
                            <w:r w:rsidR="0095350E" w:rsidRPr="0095350E">
                              <w:rPr>
                                <w:rStyle w:val="Hipervnculo"/>
                                <w:rFonts w:ascii="Times New Roman" w:hAnsi="Times New Roman"/>
                                <w:sz w:val="24"/>
                                <w:szCs w:val="24"/>
                                <w:u w:val="none"/>
                              </w:rPr>
                              <w:t>0000-0002-3533-5084</w:t>
                            </w:r>
                          </w:p>
                          <w:p w14:paraId="489A0E80" w14:textId="77777777" w:rsidR="00E92240" w:rsidRPr="00B05B17" w:rsidRDefault="00E92240" w:rsidP="00E92240">
                            <w:pPr>
                              <w:spacing w:after="0" w:line="276" w:lineRule="auto"/>
                              <w:jc w:val="center"/>
                              <w:rPr>
                                <w:rFonts w:ascii="Times New Roman" w:hAnsi="Times New Roman"/>
                                <w:bCs/>
                                <w:iCs/>
                                <w:color w:val="000000"/>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8F9A5" id="_x0000_s1029" type="#_x0000_t202" style="position:absolute;left:0;text-align:left;margin-left:17.9pt;margin-top:9.85pt;width:223.2pt;height:61.2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" filled="f" stroked="f" strokeweight=".5pt">
                <v:textbox>
                  <w:txbxContent>
                    <w:p w14:paraId="6F265216" w14:textId="13C1EFD8" w:rsidR="00E92240" w:rsidRPr="004A4752" w:rsidRDefault="0095350E" w:rsidP="00E92240">
                      <w:pPr>
                        <w:spacing w:after="0" w:line="276" w:lineRule="auto"/>
                        <w:jc w:val="center"/>
                        <w:rPr>
                          <w:rFonts w:ascii="Times New Roman" w:hAnsi="Times New Roman"/>
                          <w:bCs/>
                          <w:iCs/>
                          <w:color w:val="000000"/>
                          <w:sz w:val="24"/>
                          <w:szCs w:val="24"/>
                          <w:vertAlign w:val="superscript"/>
                        </w:rPr>
                      </w:pPr>
                      <w:proofErr w:type="spellStart"/>
                      <w:r w:rsidRPr="0095350E">
                        <w:rPr>
                          <w:rFonts w:ascii="Times New Roman" w:hAnsi="Times New Roman"/>
                          <w:bCs/>
                          <w:iCs/>
                          <w:color w:val="000000"/>
                          <w:sz w:val="24"/>
                          <w:szCs w:val="24"/>
                        </w:rPr>
                        <w:t>Jhon</w:t>
                      </w:r>
                      <w:proofErr w:type="spellEnd"/>
                      <w:r w:rsidRPr="0095350E">
                        <w:rPr>
                          <w:rFonts w:ascii="Times New Roman" w:hAnsi="Times New Roman"/>
                          <w:bCs/>
                          <w:iCs/>
                          <w:color w:val="000000"/>
                          <w:sz w:val="24"/>
                          <w:szCs w:val="24"/>
                        </w:rPr>
                        <w:t xml:space="preserve"> Kelvin</w:t>
                      </w:r>
                      <w:r w:rsidRPr="0095350E">
                        <w:t xml:space="preserve"> </w:t>
                      </w:r>
                      <w:r w:rsidRPr="0095350E">
                        <w:rPr>
                          <w:rFonts w:ascii="Times New Roman" w:hAnsi="Times New Roman"/>
                          <w:bCs/>
                          <w:iCs/>
                          <w:color w:val="000000"/>
                          <w:sz w:val="24"/>
                          <w:szCs w:val="24"/>
                        </w:rPr>
                        <w:t>Ortiz Zambrano</w:t>
                      </w:r>
                      <w:r w:rsidR="00E73CF9" w:rsidRPr="00E73CF9">
                        <w:rPr>
                          <w:rFonts w:ascii="Times New Roman" w:hAnsi="Times New Roman"/>
                          <w:bCs/>
                          <w:iCs/>
                          <w:color w:val="000000"/>
                          <w:sz w:val="24"/>
                          <w:szCs w:val="24"/>
                        </w:rPr>
                        <w:t xml:space="preserve"> </w:t>
                      </w:r>
                      <w:r w:rsidR="00E92240" w:rsidRPr="004A4752">
                        <w:rPr>
                          <w:rFonts w:ascii="Times New Roman" w:hAnsi="Times New Roman"/>
                          <w:bCs/>
                          <w:iCs/>
                          <w:color w:val="000000"/>
                          <w:sz w:val="24"/>
                          <w:szCs w:val="24"/>
                          <w:vertAlign w:val="superscript"/>
                        </w:rPr>
                        <w:t>I</w:t>
                      </w:r>
                      <w:r w:rsidR="00E92240">
                        <w:rPr>
                          <w:rFonts w:ascii="Times New Roman" w:hAnsi="Times New Roman"/>
                          <w:bCs/>
                          <w:iCs/>
                          <w:color w:val="000000"/>
                          <w:sz w:val="24"/>
                          <w:szCs w:val="24"/>
                          <w:vertAlign w:val="superscript"/>
                        </w:rPr>
                        <w:t>II</w:t>
                      </w:r>
                    </w:p>
                    <w:p w14:paraId="2C280F01" w14:textId="0DB31568" w:rsidR="00E92240" w:rsidRPr="003A04CC" w:rsidRDefault="0095350E" w:rsidP="00E92240">
                      <w:pPr>
                        <w:spacing w:after="0" w:line="276" w:lineRule="auto"/>
                        <w:jc w:val="center"/>
                        <w:rPr>
                          <w:rStyle w:val="Hipervnculo"/>
                          <w:u w:val="none"/>
                        </w:rPr>
                      </w:pPr>
                      <w:r w:rsidRPr="0095350E">
                        <w:rPr>
                          <w:rStyle w:val="Hipervnculo"/>
                          <w:rFonts w:ascii="Times New Roman" w:hAnsi="Times New Roman"/>
                          <w:sz w:val="24"/>
                          <w:szCs w:val="24"/>
                          <w:u w:val="none"/>
                        </w:rPr>
                        <w:t>jhonortiz@utm.edu.ec</w:t>
                      </w:r>
                    </w:p>
                    <w:p w14:paraId="17D45A54" w14:textId="1842D9B1" w:rsidR="00E92240" w:rsidRPr="001D05FC" w:rsidRDefault="00E73CF9" w:rsidP="00E92240">
                      <w:pPr>
                        <w:spacing w:after="0" w:line="276" w:lineRule="auto"/>
                        <w:jc w:val="center"/>
                        <w:rPr>
                          <w:rStyle w:val="Hipervnculo"/>
                          <w:rFonts w:ascii="Times New Roman" w:hAnsi="Times New Roman"/>
                          <w:sz w:val="24"/>
                          <w:szCs w:val="24"/>
                          <w:u w:val="none"/>
                        </w:rPr>
                      </w:pPr>
                      <w:r w:rsidRPr="00E73CF9">
                        <w:rPr>
                          <w:rStyle w:val="Hipervnculo"/>
                          <w:rFonts w:ascii="Times New Roman" w:hAnsi="Times New Roman"/>
                          <w:sz w:val="24"/>
                          <w:szCs w:val="24"/>
                          <w:u w:val="none"/>
                        </w:rPr>
                        <w:t>https://orcid.org/</w:t>
                      </w:r>
                      <w:r w:rsidR="0095350E" w:rsidRPr="0095350E">
                        <w:rPr>
                          <w:rStyle w:val="Hipervnculo"/>
                          <w:rFonts w:ascii="Times New Roman" w:hAnsi="Times New Roman"/>
                          <w:sz w:val="24"/>
                          <w:szCs w:val="24"/>
                          <w:u w:val="none"/>
                        </w:rPr>
                        <w:t>0000-0002-3533-5084</w:t>
                      </w:r>
                    </w:p>
                    <w:p w14:paraId="489A0E80" w14:textId="77777777" w:rsidR="00E92240" w:rsidRPr="00B05B17" w:rsidRDefault="00E92240" w:rsidP="00E92240">
                      <w:pPr>
                        <w:spacing w:after="0" w:line="276" w:lineRule="auto"/>
                        <w:jc w:val="center"/>
                        <w:rPr>
                          <w:rFonts w:ascii="Times New Roman" w:hAnsi="Times New Roman"/>
                          <w:bCs/>
                          <w:iCs/>
                          <w:color w:val="000000"/>
                          <w:sz w:val="24"/>
                          <w:szCs w:val="28"/>
                        </w:rPr>
                      </w:pPr>
                    </w:p>
                  </w:txbxContent>
                </v:textbox>
                <w10:wrap anchorx="margin"/>
              </v:shape>
            </w:pict>
          </mc:Fallback>
        </mc:AlternateContent>
      </w:r>
    </w:p>
    <w:p w14:paraId="7DE25702" w14:textId="18A04917" w:rsidR="002E3CF6" w:rsidRPr="00027B53" w:rsidRDefault="002E3CF6" w:rsidP="00027B53">
      <w:pPr>
        <w:spacing w:after="0"/>
        <w:jc w:val="center"/>
        <w:rPr>
          <w:rFonts w:ascii="Times New Roman" w:eastAsia="Times New Roman" w:hAnsi="Times New Roman"/>
          <w:b/>
          <w:i/>
          <w:sz w:val="28"/>
          <w:szCs w:val="26"/>
        </w:rPr>
      </w:pPr>
    </w:p>
    <w:p w14:paraId="257CF241" w14:textId="5747E93F" w:rsidR="00047EF1" w:rsidRDefault="00047EF1" w:rsidP="002B548D">
      <w:pPr>
        <w:spacing w:after="0"/>
        <w:rPr>
          <w:rFonts w:ascii="Times New Roman" w:hAnsi="Times New Roman"/>
          <w:b/>
          <w:sz w:val="8"/>
          <w:szCs w:val="24"/>
          <w:lang w:val="pt-BR"/>
        </w:rPr>
      </w:pPr>
    </w:p>
    <w:p w14:paraId="456679BC" w14:textId="33F269A9" w:rsidR="00047EF1" w:rsidRDefault="00047EF1" w:rsidP="00D91B53">
      <w:pPr>
        <w:spacing w:after="0"/>
        <w:rPr>
          <w:rFonts w:ascii="Times New Roman" w:hAnsi="Times New Roman"/>
          <w:b/>
          <w:sz w:val="8"/>
          <w:szCs w:val="24"/>
          <w:lang w:val="pt-BR"/>
        </w:rPr>
      </w:pPr>
    </w:p>
    <w:p w14:paraId="131ADB52" w14:textId="3E2047D2" w:rsidR="00505652" w:rsidRDefault="00505652" w:rsidP="00C82CB7">
      <w:pPr>
        <w:rPr>
          <w:rFonts w:ascii="Times New Roman" w:hAnsi="Times New Roman"/>
          <w:b/>
          <w:sz w:val="24"/>
          <w:szCs w:val="24"/>
          <w:lang w:val="pt-BR"/>
        </w:rPr>
      </w:pPr>
    </w:p>
    <w:p w14:paraId="1E3BD359" w14:textId="05FBD298" w:rsidR="003A04CC" w:rsidRDefault="003A04CC" w:rsidP="00C91EF6">
      <w:pPr>
        <w:rPr>
          <w:rFonts w:ascii="Times New Roman" w:hAnsi="Times New Roman"/>
          <w:b/>
          <w:sz w:val="24"/>
          <w:szCs w:val="24"/>
          <w:lang w:val="pt-BR"/>
        </w:rPr>
      </w:pPr>
    </w:p>
    <w:p w14:paraId="2BF02F2E" w14:textId="77777777" w:rsidR="0095350E" w:rsidRPr="003A04CC" w:rsidRDefault="00D5340F" w:rsidP="0095350E">
      <w:pPr>
        <w:spacing w:after="0" w:line="276" w:lineRule="auto"/>
        <w:jc w:val="center"/>
        <w:rPr>
          <w:rStyle w:val="Hipervnculo"/>
          <w:u w:val="none"/>
        </w:rPr>
      </w:pPr>
      <w:proofErr w:type="spellStart"/>
      <w:r w:rsidRPr="00D91B53">
        <w:rPr>
          <w:rFonts w:ascii="Times New Roman" w:hAnsi="Times New Roman"/>
          <w:b/>
          <w:sz w:val="24"/>
          <w:szCs w:val="24"/>
          <w:lang w:val="pt-BR"/>
        </w:rPr>
        <w:t>Correspondencia</w:t>
      </w:r>
      <w:proofErr w:type="spellEnd"/>
      <w:r w:rsidRPr="0037023D">
        <w:rPr>
          <w:rFonts w:ascii="Times New Roman" w:hAnsi="Times New Roman"/>
          <w:b/>
          <w:lang w:val="pt-BR"/>
        </w:rPr>
        <w:t>:</w:t>
      </w:r>
      <w:r w:rsidR="00E71BE9" w:rsidRPr="0037023D">
        <w:rPr>
          <w:rFonts w:ascii="Times New Roman" w:hAnsi="Times New Roman"/>
          <w:b/>
          <w:lang w:val="pt-BR"/>
        </w:rPr>
        <w:t xml:space="preserve"> </w:t>
      </w:r>
      <w:r w:rsidR="0095350E" w:rsidRPr="0095350E">
        <w:rPr>
          <w:rStyle w:val="Hipervnculo"/>
          <w:rFonts w:ascii="Times New Roman" w:hAnsi="Times New Roman"/>
          <w:sz w:val="24"/>
          <w:szCs w:val="24"/>
          <w:u w:val="none"/>
        </w:rPr>
        <w:t>dralejandrolara@hotmail.com</w:t>
      </w:r>
    </w:p>
    <w:p w14:paraId="1AF8CD10" w14:textId="384EBFCB" w:rsidR="00722321" w:rsidRPr="003A04CC" w:rsidRDefault="00722321" w:rsidP="00722321">
      <w:pPr>
        <w:spacing w:after="0" w:line="276" w:lineRule="auto"/>
        <w:jc w:val="center"/>
        <w:rPr>
          <w:rStyle w:val="Hipervnculo"/>
          <w:u w:val="none"/>
        </w:rPr>
      </w:pPr>
    </w:p>
    <w:p w14:paraId="164DAC5D" w14:textId="77777777" w:rsidR="00C91EF6" w:rsidRDefault="00C91EF6" w:rsidP="0095350E">
      <w:pPr>
        <w:spacing w:after="0" w:line="276" w:lineRule="auto"/>
        <w:rPr>
          <w:rFonts w:ascii="Times New Roman" w:eastAsia="Times New Roman" w:hAnsi="Times New Roman"/>
          <w:color w:val="000000"/>
          <w:sz w:val="24"/>
          <w:szCs w:val="24"/>
        </w:rPr>
      </w:pPr>
    </w:p>
    <w:p w14:paraId="6E19D5B7" w14:textId="1D2961F3" w:rsidR="00E73CF9" w:rsidRPr="002B548D" w:rsidRDefault="00C91EF6" w:rsidP="00E73CF9">
      <w:pPr>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Ciencias </w:t>
      </w:r>
      <w:r w:rsidR="00E73CF9">
        <w:rPr>
          <w:rFonts w:ascii="Times New Roman" w:eastAsia="Times New Roman" w:hAnsi="Times New Roman"/>
          <w:color w:val="000000"/>
          <w:sz w:val="24"/>
          <w:szCs w:val="24"/>
        </w:rPr>
        <w:t>de la Educación</w:t>
      </w:r>
    </w:p>
    <w:p w14:paraId="63DC6901" w14:textId="1ED63529" w:rsidR="008B07C4" w:rsidRDefault="00D5340F" w:rsidP="00B05B17">
      <w:pPr>
        <w:pBdr>
          <w:top w:val="nil"/>
          <w:left w:val="nil"/>
          <w:bottom w:val="nil"/>
          <w:right w:val="nil"/>
          <w:between w:val="nil"/>
        </w:pBdr>
        <w:spacing w:after="0" w:line="276" w:lineRule="auto"/>
        <w:jc w:val="center"/>
        <w:rPr>
          <w:rFonts w:ascii="Times New Roman" w:eastAsia="Times New Roman" w:hAnsi="Times New Roman"/>
          <w:color w:val="000000"/>
          <w:sz w:val="24"/>
          <w:szCs w:val="24"/>
        </w:rPr>
      </w:pPr>
      <w:r w:rsidRPr="002B548D">
        <w:rPr>
          <w:rFonts w:ascii="Times New Roman" w:eastAsia="Times New Roman" w:hAnsi="Times New Roman"/>
          <w:color w:val="000000"/>
          <w:sz w:val="24"/>
          <w:szCs w:val="24"/>
        </w:rPr>
        <w:t>Artículo de</w:t>
      </w:r>
      <w:r w:rsidR="007A6487">
        <w:rPr>
          <w:rFonts w:ascii="Times New Roman" w:eastAsia="Times New Roman" w:hAnsi="Times New Roman"/>
          <w:color w:val="000000"/>
          <w:sz w:val="24"/>
          <w:szCs w:val="24"/>
        </w:rPr>
        <w:t xml:space="preserve"> </w:t>
      </w:r>
      <w:r w:rsidR="003C74AD">
        <w:rPr>
          <w:rFonts w:ascii="Times New Roman" w:eastAsia="Times New Roman" w:hAnsi="Times New Roman"/>
          <w:color w:val="000000"/>
          <w:sz w:val="24"/>
          <w:szCs w:val="24"/>
        </w:rPr>
        <w:t>Investigación</w:t>
      </w:r>
    </w:p>
    <w:p w14:paraId="1AC225D0" w14:textId="77777777" w:rsidR="00B05B17" w:rsidRPr="00775C9E" w:rsidRDefault="00B05B17" w:rsidP="00B05B17">
      <w:pPr>
        <w:pBdr>
          <w:top w:val="nil"/>
          <w:left w:val="nil"/>
          <w:bottom w:val="nil"/>
          <w:right w:val="nil"/>
          <w:between w:val="nil"/>
        </w:pBdr>
        <w:spacing w:after="0" w:line="276" w:lineRule="auto"/>
        <w:jc w:val="center"/>
        <w:rPr>
          <w:rFonts w:ascii="Times New Roman" w:eastAsia="Times New Roman" w:hAnsi="Times New Roman"/>
          <w:color w:val="000000"/>
          <w:sz w:val="24"/>
          <w:szCs w:val="24"/>
        </w:rPr>
      </w:pPr>
    </w:p>
    <w:p w14:paraId="55C888E8" w14:textId="03824A54" w:rsidR="003B35C9" w:rsidRDefault="00D5340F" w:rsidP="0084693C">
      <w:pPr>
        <w:pStyle w:val="Sinespaciado"/>
        <w:spacing w:line="360" w:lineRule="auto"/>
        <w:jc w:val="center"/>
        <w:rPr>
          <w:rFonts w:ascii="Times New Roman" w:hAnsi="Times New Roman"/>
          <w:sz w:val="20"/>
          <w:szCs w:val="20"/>
          <w:lang w:eastAsia="es-EC"/>
        </w:rPr>
      </w:pPr>
      <w:r w:rsidRPr="002B548D">
        <w:rPr>
          <w:rFonts w:ascii="Times New Roman" w:hAnsi="Times New Roman"/>
          <w:b/>
          <w:sz w:val="20"/>
          <w:szCs w:val="20"/>
          <w:lang w:eastAsia="es-EC"/>
        </w:rPr>
        <w:t>*</w:t>
      </w:r>
      <w:r w:rsidR="008D7C6C" w:rsidRPr="008D7C6C">
        <w:t xml:space="preserve"> </w:t>
      </w:r>
      <w:r w:rsidR="008D7C6C" w:rsidRPr="008D7C6C">
        <w:rPr>
          <w:rFonts w:ascii="Times New Roman" w:hAnsi="Times New Roman"/>
          <w:b/>
          <w:sz w:val="20"/>
          <w:szCs w:val="20"/>
          <w:lang w:eastAsia="es-EC"/>
        </w:rPr>
        <w:t xml:space="preserve">Recibido: </w:t>
      </w:r>
      <w:r w:rsidR="002354E8">
        <w:rPr>
          <w:rFonts w:ascii="Times New Roman" w:hAnsi="Times New Roman"/>
          <w:sz w:val="20"/>
          <w:szCs w:val="20"/>
          <w:lang w:eastAsia="es-EC"/>
        </w:rPr>
        <w:t>26</w:t>
      </w:r>
      <w:r w:rsidR="00644614">
        <w:rPr>
          <w:rFonts w:ascii="Times New Roman" w:hAnsi="Times New Roman"/>
          <w:sz w:val="20"/>
          <w:szCs w:val="20"/>
          <w:lang w:eastAsia="es-EC"/>
        </w:rPr>
        <w:t xml:space="preserve"> de </w:t>
      </w:r>
      <w:r w:rsidR="00D709E2">
        <w:rPr>
          <w:rFonts w:ascii="Times New Roman" w:hAnsi="Times New Roman"/>
          <w:sz w:val="20"/>
          <w:szCs w:val="20"/>
          <w:lang w:eastAsia="es-EC"/>
        </w:rPr>
        <w:t>agosto</w:t>
      </w:r>
      <w:r w:rsidR="008D7C6C" w:rsidRPr="008D7C6C">
        <w:rPr>
          <w:rFonts w:ascii="Times New Roman" w:hAnsi="Times New Roman"/>
          <w:sz w:val="20"/>
          <w:szCs w:val="20"/>
          <w:lang w:eastAsia="es-EC"/>
        </w:rPr>
        <w:t xml:space="preserve"> de 202</w:t>
      </w:r>
      <w:r w:rsidR="002424FB">
        <w:rPr>
          <w:rFonts w:ascii="Times New Roman" w:hAnsi="Times New Roman"/>
          <w:sz w:val="20"/>
          <w:szCs w:val="20"/>
          <w:lang w:eastAsia="es-EC"/>
        </w:rPr>
        <w:t>5</w:t>
      </w:r>
      <w:r w:rsidR="008D7C6C" w:rsidRPr="008D7C6C">
        <w:rPr>
          <w:rFonts w:ascii="Times New Roman" w:hAnsi="Times New Roman"/>
          <w:b/>
          <w:sz w:val="20"/>
          <w:szCs w:val="20"/>
          <w:lang w:eastAsia="es-EC"/>
        </w:rPr>
        <w:t xml:space="preserve"> *Aceptado: </w:t>
      </w:r>
      <w:r w:rsidR="002354E8">
        <w:rPr>
          <w:rFonts w:ascii="Times New Roman" w:hAnsi="Times New Roman"/>
          <w:sz w:val="20"/>
          <w:szCs w:val="20"/>
          <w:lang w:eastAsia="es-EC"/>
        </w:rPr>
        <w:t>2</w:t>
      </w:r>
      <w:r w:rsidR="003A04CC">
        <w:rPr>
          <w:rFonts w:ascii="Times New Roman" w:hAnsi="Times New Roman"/>
          <w:sz w:val="20"/>
          <w:szCs w:val="20"/>
          <w:lang w:eastAsia="es-EC"/>
        </w:rPr>
        <w:t>4</w:t>
      </w:r>
      <w:r w:rsidR="007800AF">
        <w:rPr>
          <w:rFonts w:ascii="Times New Roman" w:hAnsi="Times New Roman"/>
          <w:sz w:val="20"/>
          <w:szCs w:val="20"/>
          <w:lang w:eastAsia="es-EC"/>
        </w:rPr>
        <w:t xml:space="preserve"> </w:t>
      </w:r>
      <w:r w:rsidR="00C82CB7">
        <w:rPr>
          <w:rFonts w:ascii="Times New Roman" w:hAnsi="Times New Roman"/>
          <w:sz w:val="20"/>
          <w:szCs w:val="20"/>
          <w:lang w:eastAsia="es-EC"/>
        </w:rPr>
        <w:t xml:space="preserve">de </w:t>
      </w:r>
      <w:r w:rsidR="00D709E2">
        <w:rPr>
          <w:rFonts w:ascii="Times New Roman" w:hAnsi="Times New Roman"/>
          <w:sz w:val="20"/>
          <w:szCs w:val="20"/>
          <w:lang w:eastAsia="es-EC"/>
        </w:rPr>
        <w:t>septiembre</w:t>
      </w:r>
      <w:r w:rsidR="00727E91">
        <w:rPr>
          <w:rFonts w:ascii="Times New Roman" w:hAnsi="Times New Roman"/>
          <w:sz w:val="20"/>
          <w:szCs w:val="20"/>
          <w:lang w:eastAsia="es-EC"/>
        </w:rPr>
        <w:t xml:space="preserve"> </w:t>
      </w:r>
      <w:r w:rsidR="007800AF">
        <w:rPr>
          <w:rFonts w:ascii="Times New Roman" w:hAnsi="Times New Roman"/>
          <w:sz w:val="20"/>
          <w:szCs w:val="20"/>
          <w:lang w:eastAsia="es-EC"/>
        </w:rPr>
        <w:t>de 202</w:t>
      </w:r>
      <w:r w:rsidR="002424FB">
        <w:rPr>
          <w:rFonts w:ascii="Times New Roman" w:hAnsi="Times New Roman"/>
          <w:sz w:val="20"/>
          <w:szCs w:val="20"/>
          <w:lang w:eastAsia="es-EC"/>
        </w:rPr>
        <w:t>5</w:t>
      </w:r>
      <w:r w:rsidR="008D7C6C" w:rsidRPr="008D7C6C">
        <w:rPr>
          <w:rFonts w:ascii="Times New Roman" w:hAnsi="Times New Roman"/>
          <w:b/>
          <w:sz w:val="20"/>
          <w:szCs w:val="20"/>
          <w:lang w:eastAsia="es-EC"/>
        </w:rPr>
        <w:t xml:space="preserve"> * Publicado: </w:t>
      </w:r>
      <w:r w:rsidR="008D7C6C" w:rsidRPr="008D7C6C">
        <w:rPr>
          <w:rFonts w:ascii="Times New Roman" w:hAnsi="Times New Roman"/>
          <w:sz w:val="20"/>
          <w:szCs w:val="20"/>
          <w:lang w:eastAsia="es-EC"/>
        </w:rPr>
        <w:t xml:space="preserve"> </w:t>
      </w:r>
      <w:r w:rsidR="00643806">
        <w:rPr>
          <w:rFonts w:ascii="Times New Roman" w:hAnsi="Times New Roman"/>
          <w:sz w:val="20"/>
          <w:szCs w:val="20"/>
          <w:lang w:eastAsia="es-EC"/>
        </w:rPr>
        <w:t>2</w:t>
      </w:r>
      <w:r w:rsidR="0095350E">
        <w:rPr>
          <w:rFonts w:ascii="Times New Roman" w:hAnsi="Times New Roman"/>
          <w:sz w:val="20"/>
          <w:szCs w:val="20"/>
          <w:lang w:eastAsia="es-EC"/>
        </w:rPr>
        <w:t>3</w:t>
      </w:r>
      <w:r w:rsidR="00D730C9">
        <w:rPr>
          <w:rFonts w:ascii="Times New Roman" w:hAnsi="Times New Roman"/>
          <w:sz w:val="20"/>
          <w:szCs w:val="20"/>
          <w:lang w:eastAsia="es-EC"/>
        </w:rPr>
        <w:t xml:space="preserve"> </w:t>
      </w:r>
      <w:r w:rsidR="008D7C6C" w:rsidRPr="008D7C6C">
        <w:rPr>
          <w:rFonts w:ascii="Times New Roman" w:hAnsi="Times New Roman"/>
          <w:sz w:val="20"/>
          <w:szCs w:val="20"/>
          <w:lang w:eastAsia="es-EC"/>
        </w:rPr>
        <w:t>de</w:t>
      </w:r>
      <w:r w:rsidR="00BE1940">
        <w:rPr>
          <w:rFonts w:ascii="Times New Roman" w:hAnsi="Times New Roman"/>
          <w:sz w:val="20"/>
          <w:szCs w:val="20"/>
          <w:lang w:eastAsia="es-EC"/>
        </w:rPr>
        <w:t xml:space="preserve"> </w:t>
      </w:r>
      <w:r w:rsidR="00E73CF9">
        <w:rPr>
          <w:rFonts w:ascii="Times New Roman" w:hAnsi="Times New Roman"/>
          <w:sz w:val="20"/>
          <w:szCs w:val="20"/>
          <w:lang w:eastAsia="es-EC"/>
        </w:rPr>
        <w:t>octubre</w:t>
      </w:r>
      <w:r w:rsidR="004F7B21">
        <w:rPr>
          <w:rFonts w:ascii="Times New Roman" w:hAnsi="Times New Roman"/>
          <w:sz w:val="20"/>
          <w:szCs w:val="20"/>
          <w:lang w:eastAsia="es-EC"/>
        </w:rPr>
        <w:t xml:space="preserve"> </w:t>
      </w:r>
      <w:r w:rsidR="008D7C6C" w:rsidRPr="008D7C6C">
        <w:rPr>
          <w:rFonts w:ascii="Times New Roman" w:hAnsi="Times New Roman"/>
          <w:sz w:val="20"/>
          <w:szCs w:val="20"/>
          <w:lang w:eastAsia="es-EC"/>
        </w:rPr>
        <w:t>de 202</w:t>
      </w:r>
      <w:r w:rsidR="001F70D6">
        <w:rPr>
          <w:rFonts w:ascii="Times New Roman" w:hAnsi="Times New Roman"/>
          <w:sz w:val="20"/>
          <w:szCs w:val="20"/>
          <w:lang w:eastAsia="es-EC"/>
        </w:rPr>
        <w:t>5</w:t>
      </w:r>
    </w:p>
    <w:p w14:paraId="46D0F607" w14:textId="77777777" w:rsidR="00874D9E" w:rsidRPr="0084693C" w:rsidRDefault="00874D9E" w:rsidP="0084693C">
      <w:pPr>
        <w:pStyle w:val="Sinespaciado"/>
        <w:spacing w:line="360" w:lineRule="auto"/>
        <w:jc w:val="center"/>
        <w:rPr>
          <w:rFonts w:ascii="Times New Roman" w:hAnsi="Times New Roman"/>
          <w:sz w:val="20"/>
          <w:szCs w:val="20"/>
          <w:lang w:eastAsia="es-EC"/>
        </w:rPr>
      </w:pPr>
    </w:p>
    <w:p w14:paraId="4C252F1E" w14:textId="2055181B" w:rsidR="009F3909" w:rsidRDefault="0095350E" w:rsidP="00C91EF6">
      <w:pPr>
        <w:pStyle w:val="Prrafodelista"/>
        <w:numPr>
          <w:ilvl w:val="0"/>
          <w:numId w:val="2"/>
        </w:numPr>
        <w:rPr>
          <w:rFonts w:ascii="Times New Roman" w:eastAsia="SimSun" w:hAnsi="Times New Roman"/>
          <w:kern w:val="2"/>
          <w:sz w:val="24"/>
          <w:szCs w:val="24"/>
          <w:shd w:val="clear" w:color="auto" w:fill="FFFFFF"/>
          <w:lang w:val="es-VE" w:eastAsia="zh-CN" w:bidi="hi-IN"/>
        </w:rPr>
      </w:pPr>
      <w:r w:rsidRPr="0095350E">
        <w:rPr>
          <w:rFonts w:ascii="Times New Roman" w:eastAsia="SimSun" w:hAnsi="Times New Roman"/>
          <w:kern w:val="2"/>
          <w:sz w:val="24"/>
          <w:szCs w:val="24"/>
          <w:shd w:val="clear" w:color="auto" w:fill="FFFFFF"/>
          <w:lang w:val="es-VE" w:eastAsia="zh-CN" w:bidi="hi-IN"/>
        </w:rPr>
        <w:t>Hospital General del Norte de Guayaquil</w:t>
      </w:r>
      <w:r w:rsidR="00722321" w:rsidRPr="009F3909">
        <w:rPr>
          <w:rFonts w:ascii="Times New Roman" w:eastAsia="SimSun" w:hAnsi="Times New Roman"/>
          <w:kern w:val="2"/>
          <w:sz w:val="24"/>
          <w:szCs w:val="24"/>
          <w:shd w:val="clear" w:color="auto" w:fill="FFFFFF"/>
          <w:lang w:val="es-VE" w:eastAsia="zh-CN" w:bidi="hi-IN"/>
        </w:rPr>
        <w:t>, Ecuador</w:t>
      </w:r>
      <w:r w:rsidR="009F3909" w:rsidRPr="009F3909">
        <w:rPr>
          <w:rFonts w:ascii="Times New Roman" w:eastAsia="SimSun" w:hAnsi="Times New Roman"/>
          <w:kern w:val="2"/>
          <w:sz w:val="24"/>
          <w:szCs w:val="24"/>
          <w:shd w:val="clear" w:color="auto" w:fill="FFFFFF"/>
          <w:lang w:val="es-VE" w:eastAsia="zh-CN" w:bidi="hi-IN"/>
        </w:rPr>
        <w:t>.</w:t>
      </w:r>
    </w:p>
    <w:p w14:paraId="697ECE0A" w14:textId="601F5340" w:rsidR="00E92240" w:rsidRDefault="0095350E" w:rsidP="00C91EF6">
      <w:pPr>
        <w:pStyle w:val="Prrafodelista"/>
        <w:numPr>
          <w:ilvl w:val="0"/>
          <w:numId w:val="2"/>
        </w:numPr>
        <w:rPr>
          <w:rFonts w:ascii="Times New Roman" w:eastAsia="SimSun" w:hAnsi="Times New Roman"/>
          <w:kern w:val="2"/>
          <w:sz w:val="24"/>
          <w:szCs w:val="24"/>
          <w:shd w:val="clear" w:color="auto" w:fill="FFFFFF"/>
          <w:lang w:val="es-VE" w:eastAsia="zh-CN" w:bidi="hi-IN"/>
        </w:rPr>
      </w:pPr>
      <w:r w:rsidRPr="0095350E">
        <w:rPr>
          <w:rFonts w:ascii="Times New Roman" w:eastAsia="SimSun" w:hAnsi="Times New Roman"/>
          <w:kern w:val="2"/>
          <w:sz w:val="24"/>
          <w:szCs w:val="24"/>
          <w:shd w:val="clear" w:color="auto" w:fill="FFFFFF"/>
          <w:lang w:val="es-VE" w:eastAsia="zh-CN" w:bidi="hi-IN"/>
        </w:rPr>
        <w:t>Universidad Estatal del Sur de Manabí</w:t>
      </w:r>
      <w:r w:rsidR="00D709E2" w:rsidRPr="009F3909">
        <w:rPr>
          <w:rFonts w:ascii="Times New Roman" w:eastAsia="SimSun" w:hAnsi="Times New Roman"/>
          <w:kern w:val="2"/>
          <w:sz w:val="24"/>
          <w:szCs w:val="24"/>
          <w:shd w:val="clear" w:color="auto" w:fill="FFFFFF"/>
          <w:lang w:val="es-VE" w:eastAsia="zh-CN" w:bidi="hi-IN"/>
        </w:rPr>
        <w:t>, Ecuador</w:t>
      </w:r>
      <w:r w:rsidR="00E92240">
        <w:rPr>
          <w:rFonts w:ascii="Times New Roman" w:eastAsia="SimSun" w:hAnsi="Times New Roman"/>
          <w:kern w:val="2"/>
          <w:sz w:val="24"/>
          <w:szCs w:val="24"/>
          <w:shd w:val="clear" w:color="auto" w:fill="FFFFFF"/>
          <w:lang w:val="es-VE" w:eastAsia="zh-CN" w:bidi="hi-IN"/>
        </w:rPr>
        <w:t>.</w:t>
      </w:r>
    </w:p>
    <w:p w14:paraId="4B469DA5" w14:textId="35E82C66" w:rsidR="00E92240" w:rsidRDefault="0095350E" w:rsidP="00C91EF6">
      <w:pPr>
        <w:pStyle w:val="Prrafodelista"/>
        <w:numPr>
          <w:ilvl w:val="0"/>
          <w:numId w:val="2"/>
        </w:numPr>
        <w:rPr>
          <w:rFonts w:ascii="Times New Roman" w:eastAsia="SimSun" w:hAnsi="Times New Roman"/>
          <w:kern w:val="2"/>
          <w:sz w:val="24"/>
          <w:szCs w:val="24"/>
          <w:shd w:val="clear" w:color="auto" w:fill="FFFFFF"/>
          <w:lang w:val="es-VE" w:eastAsia="zh-CN" w:bidi="hi-IN"/>
        </w:rPr>
      </w:pPr>
      <w:r w:rsidRPr="0095350E">
        <w:rPr>
          <w:rFonts w:ascii="Times New Roman" w:eastAsia="SimSun" w:hAnsi="Times New Roman"/>
          <w:kern w:val="2"/>
          <w:sz w:val="24"/>
          <w:szCs w:val="24"/>
          <w:shd w:val="clear" w:color="auto" w:fill="FFFFFF"/>
          <w:lang w:val="es-VE" w:eastAsia="zh-CN" w:bidi="hi-IN"/>
        </w:rPr>
        <w:t>Universidad Estatal del Sur de Manabí</w:t>
      </w:r>
      <w:r w:rsidR="00E92240" w:rsidRPr="009F3909">
        <w:rPr>
          <w:rFonts w:ascii="Times New Roman" w:eastAsia="SimSun" w:hAnsi="Times New Roman"/>
          <w:kern w:val="2"/>
          <w:sz w:val="24"/>
          <w:szCs w:val="24"/>
          <w:shd w:val="clear" w:color="auto" w:fill="FFFFFF"/>
          <w:lang w:val="es-VE" w:eastAsia="zh-CN" w:bidi="hi-IN"/>
        </w:rPr>
        <w:t>, Ecuador</w:t>
      </w:r>
      <w:r w:rsidR="00E92240">
        <w:rPr>
          <w:rFonts w:ascii="Times New Roman" w:eastAsia="SimSun" w:hAnsi="Times New Roman"/>
          <w:kern w:val="2"/>
          <w:sz w:val="24"/>
          <w:szCs w:val="24"/>
          <w:shd w:val="clear" w:color="auto" w:fill="FFFFFF"/>
          <w:lang w:val="es-VE" w:eastAsia="zh-CN" w:bidi="hi-IN"/>
        </w:rPr>
        <w:t>.</w:t>
      </w:r>
    </w:p>
    <w:p w14:paraId="7D1E4AE2" w14:textId="4B649719" w:rsidR="001C2584" w:rsidRPr="009F3909" w:rsidRDefault="0095350E" w:rsidP="00C91EF6">
      <w:pPr>
        <w:pStyle w:val="Prrafodelista"/>
        <w:numPr>
          <w:ilvl w:val="0"/>
          <w:numId w:val="2"/>
        </w:numPr>
        <w:rPr>
          <w:rFonts w:ascii="Times New Roman" w:eastAsia="SimSun" w:hAnsi="Times New Roman"/>
          <w:kern w:val="2"/>
          <w:sz w:val="24"/>
          <w:szCs w:val="24"/>
          <w:shd w:val="clear" w:color="auto" w:fill="FFFFFF"/>
          <w:lang w:val="es-VE" w:eastAsia="zh-CN" w:bidi="hi-IN"/>
        </w:rPr>
      </w:pPr>
      <w:r w:rsidRPr="0095350E">
        <w:rPr>
          <w:rFonts w:ascii="Times New Roman" w:eastAsia="SimSun" w:hAnsi="Times New Roman"/>
          <w:kern w:val="2"/>
          <w:sz w:val="24"/>
          <w:szCs w:val="24"/>
          <w:shd w:val="clear" w:color="auto" w:fill="FFFFFF"/>
          <w:lang w:val="es-VE" w:eastAsia="zh-CN" w:bidi="hi-IN"/>
        </w:rPr>
        <w:t>Universidad Regional Amazónica</w:t>
      </w:r>
      <w:r w:rsidR="00D709E2" w:rsidRPr="009F3909">
        <w:rPr>
          <w:rFonts w:ascii="Times New Roman" w:eastAsia="SimSun" w:hAnsi="Times New Roman"/>
          <w:kern w:val="2"/>
          <w:sz w:val="24"/>
          <w:szCs w:val="24"/>
          <w:shd w:val="clear" w:color="auto" w:fill="FFFFFF"/>
          <w:lang w:val="es-VE" w:eastAsia="zh-CN" w:bidi="hi-IN"/>
        </w:rPr>
        <w:t>, Ecuador</w:t>
      </w:r>
      <w:r w:rsidR="001C2584">
        <w:rPr>
          <w:rFonts w:ascii="Times New Roman" w:eastAsia="SimSun" w:hAnsi="Times New Roman"/>
          <w:kern w:val="2"/>
          <w:sz w:val="24"/>
          <w:szCs w:val="24"/>
          <w:shd w:val="clear" w:color="auto" w:fill="FFFFFF"/>
          <w:lang w:val="es-VE" w:eastAsia="zh-CN" w:bidi="hi-IN"/>
        </w:rPr>
        <w:t>.</w:t>
      </w:r>
    </w:p>
    <w:p w14:paraId="747765E6" w14:textId="77777777" w:rsidR="00AF049D" w:rsidRDefault="00AF049D" w:rsidP="00F241AF">
      <w:pPr>
        <w:pStyle w:val="ndice"/>
        <w:ind w:left="360"/>
        <w:rPr>
          <w:rFonts w:ascii="Times New Roman" w:hAnsi="Times New Roman" w:cs="Times New Roman"/>
          <w:sz w:val="22"/>
          <w:szCs w:val="22"/>
          <w:shd w:val="clear" w:color="auto" w:fill="FFFFFF"/>
        </w:rPr>
      </w:pPr>
    </w:p>
    <w:p w14:paraId="5D1AFEDA" w14:textId="609FFB45" w:rsidR="00F241AF" w:rsidRPr="00F241AF" w:rsidRDefault="00F241AF" w:rsidP="00F241AF">
      <w:pPr>
        <w:pStyle w:val="ndice"/>
        <w:ind w:left="360"/>
        <w:rPr>
          <w:rFonts w:ascii="Times New Roman" w:hAnsi="Times New Roman" w:cs="Times New Roman"/>
          <w:sz w:val="22"/>
          <w:szCs w:val="22"/>
          <w:shd w:val="clear" w:color="auto" w:fill="FFFFFF"/>
        </w:rPr>
        <w:sectPr w:rsidR="00F241AF" w:rsidRPr="00F241AF" w:rsidSect="002C5D3B">
          <w:headerReference w:type="even" r:id="rId9"/>
          <w:headerReference w:type="default" r:id="rId10"/>
          <w:footerReference w:type="even" r:id="rId11"/>
          <w:footerReference w:type="default" r:id="rId12"/>
          <w:headerReference w:type="first" r:id="rId13"/>
          <w:footerReference w:type="first" r:id="rId14"/>
          <w:pgSz w:w="12240" w:h="15840" w:code="1"/>
          <w:pgMar w:top="1418" w:right="1418" w:bottom="1418" w:left="1418" w:header="709" w:footer="709" w:gutter="0"/>
          <w:pgNumType w:start="42"/>
          <w:cols w:space="708"/>
          <w:titlePg/>
          <w:docGrid w:linePitch="360"/>
        </w:sectPr>
      </w:pPr>
    </w:p>
    <w:p w14:paraId="6FAFCFC1" w14:textId="68A54A65" w:rsidR="00A35894" w:rsidRPr="00887FA8" w:rsidRDefault="00A35894" w:rsidP="00F76AC6">
      <w:pPr>
        <w:spacing w:after="0" w:line="360" w:lineRule="auto"/>
        <w:contextualSpacing/>
        <w:jc w:val="both"/>
        <w:rPr>
          <w:rFonts w:ascii="Times New Roman" w:hAnsi="Times New Roman"/>
          <w:b/>
          <w:sz w:val="24"/>
          <w:szCs w:val="24"/>
          <w:lang w:val="es-ES"/>
        </w:rPr>
      </w:pPr>
      <w:r w:rsidRPr="00887FA8">
        <w:rPr>
          <w:rFonts w:ascii="Times New Roman" w:hAnsi="Times New Roman"/>
          <w:b/>
          <w:sz w:val="24"/>
          <w:szCs w:val="24"/>
          <w:lang w:val="es-ES"/>
        </w:rPr>
        <w:lastRenderedPageBreak/>
        <w:t>Resumen</w:t>
      </w:r>
    </w:p>
    <w:p w14:paraId="73EC6EBF" w14:textId="670EDBFA" w:rsidR="00222A8A" w:rsidRDefault="0095350E" w:rsidP="00F76AC6">
      <w:pPr>
        <w:spacing w:after="0" w:line="360" w:lineRule="auto"/>
        <w:contextualSpacing/>
        <w:jc w:val="both"/>
        <w:rPr>
          <w:rFonts w:ascii="Times New Roman" w:hAnsi="Times New Roman"/>
          <w:sz w:val="24"/>
          <w:szCs w:val="24"/>
          <w:lang w:val="es-ES"/>
        </w:rPr>
      </w:pPr>
      <w:r w:rsidRPr="0095350E">
        <w:rPr>
          <w:rFonts w:ascii="Times New Roman" w:hAnsi="Times New Roman"/>
          <w:sz w:val="24"/>
          <w:szCs w:val="24"/>
          <w:lang w:val="es-ES"/>
        </w:rPr>
        <w:t>El propósito de esta investigación fue examinar la relación entre el uso académico de herramientas de inteligencia artificial (IA)generativa y el desarrollo del pensamiento crítico en estudiantes universitarios. Se utilizó un enfoque cuantitativo con un diseño correlacional, aplicando cuestionarios y la prueba Watson-Glaser para evaluar habilidades críticas en una muestra de 75 estudiantes de diversas carreras. Los hallazgos revelaron una correlación positiva moderada-alta (r=0.63) entre el uso reflexivo de IA generativa y el fortalecimiento del pensamiento crítico. El 61.3% de los participantes indicó mejoras en su capacidad para argumentar, evaluar información y formular juicios. La mayoría obtuvo puntajes medios y altos en razonamiento lógico e inferencia. Se concluye que el uso pedagógico estratégico de herramientas de IA favorece el desarrollo de competencias críticas en contextos académicos. La integración ética y consciente de estas tecnologías potencia la autonomía intelectual, el análisis profundo y el pensamiento reflexivo en los estudiantes</w:t>
      </w:r>
      <w:r w:rsidR="00222A8A">
        <w:rPr>
          <w:rFonts w:ascii="Times New Roman" w:hAnsi="Times New Roman"/>
          <w:sz w:val="24"/>
          <w:szCs w:val="24"/>
          <w:lang w:val="es-ES"/>
        </w:rPr>
        <w:t>.</w:t>
      </w:r>
    </w:p>
    <w:p w14:paraId="2464412D" w14:textId="60012EC7" w:rsidR="009E6A70" w:rsidRDefault="00251DF0" w:rsidP="00F76AC6">
      <w:pPr>
        <w:spacing w:after="0" w:line="360" w:lineRule="auto"/>
        <w:contextualSpacing/>
        <w:jc w:val="both"/>
        <w:rPr>
          <w:rFonts w:ascii="Times New Roman" w:hAnsi="Times New Roman"/>
          <w:sz w:val="24"/>
          <w:szCs w:val="24"/>
          <w:lang w:val="es-ES"/>
        </w:rPr>
      </w:pPr>
      <w:r w:rsidRPr="00887FA8">
        <w:rPr>
          <w:rFonts w:ascii="Times New Roman" w:hAnsi="Times New Roman"/>
          <w:b/>
          <w:sz w:val="24"/>
          <w:szCs w:val="24"/>
          <w:lang w:val="es-ES"/>
        </w:rPr>
        <w:t>Palabras Clave:</w:t>
      </w:r>
      <w:r w:rsidRPr="00887FA8">
        <w:rPr>
          <w:rFonts w:ascii="Times New Roman" w:hAnsi="Times New Roman"/>
          <w:sz w:val="24"/>
          <w:szCs w:val="24"/>
          <w:lang w:val="es-ES"/>
        </w:rPr>
        <w:t xml:space="preserve"> </w:t>
      </w:r>
      <w:r w:rsidR="0095350E" w:rsidRPr="0095350E">
        <w:rPr>
          <w:rFonts w:ascii="Times New Roman" w:hAnsi="Times New Roman"/>
          <w:sz w:val="24"/>
          <w:szCs w:val="24"/>
          <w:lang w:val="es-ES"/>
        </w:rPr>
        <w:t>Inteligencia generativa</w:t>
      </w:r>
      <w:r w:rsidR="0095350E">
        <w:rPr>
          <w:rFonts w:ascii="Times New Roman" w:hAnsi="Times New Roman"/>
          <w:sz w:val="24"/>
          <w:szCs w:val="24"/>
          <w:lang w:val="es-ES"/>
        </w:rPr>
        <w:t>;</w:t>
      </w:r>
      <w:r w:rsidR="0095350E" w:rsidRPr="0095350E">
        <w:rPr>
          <w:rFonts w:ascii="Times New Roman" w:hAnsi="Times New Roman"/>
          <w:sz w:val="24"/>
          <w:szCs w:val="24"/>
          <w:lang w:val="es-ES"/>
        </w:rPr>
        <w:t xml:space="preserve"> Pensamiento crítico</w:t>
      </w:r>
      <w:r w:rsidR="0095350E">
        <w:rPr>
          <w:rFonts w:ascii="Times New Roman" w:hAnsi="Times New Roman"/>
          <w:sz w:val="24"/>
          <w:szCs w:val="24"/>
          <w:lang w:val="es-ES"/>
        </w:rPr>
        <w:t>;</w:t>
      </w:r>
      <w:r w:rsidR="0095350E" w:rsidRPr="0095350E">
        <w:rPr>
          <w:rFonts w:ascii="Times New Roman" w:hAnsi="Times New Roman"/>
          <w:sz w:val="24"/>
          <w:szCs w:val="24"/>
          <w:lang w:val="es-ES"/>
        </w:rPr>
        <w:t xml:space="preserve"> Estudiantes universitarios</w:t>
      </w:r>
      <w:r w:rsidR="007F5E49" w:rsidRPr="007F5E49">
        <w:rPr>
          <w:rFonts w:ascii="Times New Roman" w:hAnsi="Times New Roman"/>
          <w:sz w:val="24"/>
          <w:szCs w:val="24"/>
          <w:lang w:val="es-ES"/>
        </w:rPr>
        <w:t>.</w:t>
      </w:r>
    </w:p>
    <w:p w14:paraId="4FF4F4B3" w14:textId="77777777" w:rsidR="00030100" w:rsidRPr="00887FA8" w:rsidRDefault="00030100" w:rsidP="00F76AC6">
      <w:pPr>
        <w:spacing w:after="0" w:line="360" w:lineRule="auto"/>
        <w:contextualSpacing/>
        <w:jc w:val="both"/>
        <w:rPr>
          <w:rFonts w:ascii="Times New Roman" w:hAnsi="Times New Roman"/>
          <w:sz w:val="24"/>
          <w:szCs w:val="24"/>
          <w:lang w:val="es-ES"/>
        </w:rPr>
      </w:pPr>
    </w:p>
    <w:p w14:paraId="57051A2F" w14:textId="77777777" w:rsidR="00B8020D" w:rsidRPr="00887FA8" w:rsidRDefault="00B8020D" w:rsidP="00F76AC6">
      <w:pPr>
        <w:spacing w:after="0" w:line="360" w:lineRule="auto"/>
        <w:contextualSpacing/>
        <w:jc w:val="both"/>
        <w:rPr>
          <w:rFonts w:ascii="Times New Roman" w:hAnsi="Times New Roman"/>
          <w:b/>
          <w:sz w:val="24"/>
          <w:szCs w:val="24"/>
          <w:lang w:val="en-US"/>
        </w:rPr>
      </w:pPr>
      <w:r w:rsidRPr="00887FA8">
        <w:rPr>
          <w:rFonts w:ascii="Times New Roman" w:hAnsi="Times New Roman"/>
          <w:b/>
          <w:sz w:val="24"/>
          <w:szCs w:val="24"/>
          <w:lang w:val="en-US"/>
        </w:rPr>
        <w:t>Abstract</w:t>
      </w:r>
    </w:p>
    <w:p w14:paraId="05769896" w14:textId="15E2D81B" w:rsidR="00353A37" w:rsidRDefault="0095350E" w:rsidP="00F76AC6">
      <w:pPr>
        <w:spacing w:after="0" w:line="360" w:lineRule="auto"/>
        <w:contextualSpacing/>
        <w:jc w:val="both"/>
        <w:rPr>
          <w:rFonts w:ascii="Times New Roman" w:hAnsi="Times New Roman"/>
          <w:sz w:val="24"/>
          <w:szCs w:val="24"/>
          <w:lang w:val="en-US"/>
        </w:rPr>
      </w:pPr>
      <w:r w:rsidRPr="0095350E">
        <w:rPr>
          <w:rFonts w:ascii="Times New Roman" w:hAnsi="Times New Roman"/>
          <w:sz w:val="24"/>
          <w:szCs w:val="24"/>
          <w:lang w:val="en-US"/>
        </w:rPr>
        <w:t>The purpose of this research was to examine the relationship between the academic use of generative artificial intelligence (AI) tools and the development of critical thinking in university students. A quantitative approach with a correlational design was used, applying questionnaires and the Watson-Glaser test to assess critical thinking skills in a sample of 75 students from diverse majors. The findings revealed a moderate-high positive correlation (r=0.63) between the reflective use of generative AI and the strengthening of critical thinking. 61.3% of participants indicated improvements in their ability to argue, evaluate information, and formulate judgments. The majority obtained medium and high scores in logical reasoning and inference. It is concluded that the strategic pedagogical use of AI tools favors the development of critical competencies in academic contexts. The ethical and conscious integration of these technologies enhances intellectual autonomy, in-depth analysis, and reflective thinking in students</w:t>
      </w:r>
      <w:r w:rsidR="00353A37" w:rsidRPr="00353A37">
        <w:rPr>
          <w:rFonts w:ascii="Times New Roman" w:hAnsi="Times New Roman"/>
          <w:sz w:val="24"/>
          <w:szCs w:val="24"/>
          <w:lang w:val="en-US"/>
        </w:rPr>
        <w:t>.</w:t>
      </w:r>
    </w:p>
    <w:p w14:paraId="12E386EE" w14:textId="160E6287" w:rsidR="00157742" w:rsidRDefault="00251DF0" w:rsidP="00F76AC6">
      <w:pPr>
        <w:spacing w:after="0" w:line="360" w:lineRule="auto"/>
        <w:contextualSpacing/>
        <w:jc w:val="both"/>
        <w:rPr>
          <w:rFonts w:ascii="Times New Roman" w:hAnsi="Times New Roman"/>
          <w:sz w:val="24"/>
          <w:szCs w:val="24"/>
          <w:lang w:val="en-US"/>
        </w:rPr>
      </w:pPr>
      <w:r w:rsidRPr="00887FA8">
        <w:rPr>
          <w:rFonts w:ascii="Times New Roman" w:hAnsi="Times New Roman"/>
          <w:b/>
          <w:sz w:val="24"/>
          <w:szCs w:val="24"/>
          <w:lang w:val="en-US"/>
        </w:rPr>
        <w:t>Keywords:</w:t>
      </w:r>
      <w:r w:rsidRPr="00887FA8">
        <w:rPr>
          <w:rFonts w:ascii="Times New Roman" w:hAnsi="Times New Roman"/>
          <w:sz w:val="24"/>
          <w:szCs w:val="24"/>
          <w:lang w:val="en-US"/>
        </w:rPr>
        <w:t xml:space="preserve"> </w:t>
      </w:r>
      <w:r w:rsidR="0095350E" w:rsidRPr="0095350E">
        <w:rPr>
          <w:rFonts w:ascii="Times New Roman" w:hAnsi="Times New Roman"/>
          <w:sz w:val="24"/>
          <w:szCs w:val="24"/>
          <w:lang w:val="en-US"/>
        </w:rPr>
        <w:t>Generative intelligence; Critical thinking; College students</w:t>
      </w:r>
      <w:r w:rsidR="007F5E49" w:rsidRPr="007F5E49">
        <w:rPr>
          <w:rFonts w:ascii="Times New Roman" w:hAnsi="Times New Roman"/>
          <w:sz w:val="24"/>
          <w:szCs w:val="24"/>
          <w:lang w:val="en-US"/>
        </w:rPr>
        <w:t>.</w:t>
      </w:r>
    </w:p>
    <w:p w14:paraId="3C7CA44E" w14:textId="14B81A35" w:rsidR="0095350E" w:rsidRDefault="0095350E" w:rsidP="00F76AC6">
      <w:pPr>
        <w:spacing w:after="0" w:line="360" w:lineRule="auto"/>
        <w:contextualSpacing/>
        <w:jc w:val="both"/>
        <w:rPr>
          <w:rFonts w:ascii="Times New Roman" w:hAnsi="Times New Roman"/>
          <w:sz w:val="24"/>
          <w:szCs w:val="24"/>
          <w:lang w:val="en-US"/>
        </w:rPr>
      </w:pPr>
    </w:p>
    <w:p w14:paraId="75D21CDF" w14:textId="18AA8B01" w:rsidR="0095350E" w:rsidRDefault="0095350E" w:rsidP="00F76AC6">
      <w:pPr>
        <w:spacing w:after="0" w:line="360" w:lineRule="auto"/>
        <w:contextualSpacing/>
        <w:jc w:val="both"/>
        <w:rPr>
          <w:rFonts w:ascii="Times New Roman" w:hAnsi="Times New Roman"/>
          <w:sz w:val="24"/>
          <w:szCs w:val="24"/>
          <w:lang w:val="en-US"/>
        </w:rPr>
      </w:pPr>
    </w:p>
    <w:p w14:paraId="61A35FBB" w14:textId="77777777" w:rsidR="0095350E" w:rsidRPr="00D709E2" w:rsidRDefault="0095350E" w:rsidP="00F76AC6">
      <w:pPr>
        <w:spacing w:after="0" w:line="360" w:lineRule="auto"/>
        <w:contextualSpacing/>
        <w:jc w:val="both"/>
        <w:rPr>
          <w:rFonts w:ascii="Times New Roman" w:hAnsi="Times New Roman"/>
          <w:sz w:val="24"/>
          <w:szCs w:val="24"/>
          <w:lang w:val="en-US"/>
        </w:rPr>
      </w:pPr>
    </w:p>
    <w:p w14:paraId="00F7D1B1" w14:textId="397F7944" w:rsidR="00C82CB7" w:rsidRDefault="002D13EE" w:rsidP="00C82CB7">
      <w:pPr>
        <w:spacing w:after="0" w:line="360" w:lineRule="auto"/>
        <w:contextualSpacing/>
        <w:jc w:val="both"/>
        <w:rPr>
          <w:rFonts w:ascii="Times New Roman" w:hAnsi="Times New Roman"/>
          <w:b/>
          <w:sz w:val="24"/>
          <w:szCs w:val="24"/>
          <w:lang w:val="es-ES"/>
        </w:rPr>
      </w:pPr>
      <w:r w:rsidRPr="00887FA8">
        <w:rPr>
          <w:rFonts w:ascii="Times New Roman" w:hAnsi="Times New Roman"/>
          <w:b/>
          <w:sz w:val="24"/>
          <w:szCs w:val="24"/>
          <w:lang w:val="es-ES"/>
        </w:rPr>
        <w:t xml:space="preserve">Resumo </w:t>
      </w:r>
    </w:p>
    <w:p w14:paraId="08314DAE" w14:textId="4E879086" w:rsidR="00222A8A" w:rsidRPr="00C82CB7" w:rsidRDefault="0095350E" w:rsidP="00C82CB7">
      <w:pPr>
        <w:spacing w:after="0" w:line="360" w:lineRule="auto"/>
        <w:contextualSpacing/>
        <w:jc w:val="both"/>
        <w:rPr>
          <w:rFonts w:ascii="Times New Roman" w:hAnsi="Times New Roman"/>
          <w:b/>
          <w:sz w:val="24"/>
          <w:szCs w:val="24"/>
          <w:lang w:val="es-ES"/>
        </w:rPr>
      </w:pPr>
      <w:r w:rsidRPr="0095350E">
        <w:rPr>
          <w:rFonts w:ascii="Times New Roman" w:hAnsi="Times New Roman"/>
          <w:sz w:val="24"/>
          <w:szCs w:val="24"/>
          <w:lang w:val="es-ES"/>
        </w:rPr>
        <w:t xml:space="preserve">O objetivo </w:t>
      </w:r>
      <w:proofErr w:type="spellStart"/>
      <w:r w:rsidRPr="0095350E">
        <w:rPr>
          <w:rFonts w:ascii="Times New Roman" w:hAnsi="Times New Roman"/>
          <w:sz w:val="24"/>
          <w:szCs w:val="24"/>
          <w:lang w:val="es-ES"/>
        </w:rPr>
        <w:t>desta</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investigação</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foi</w:t>
      </w:r>
      <w:proofErr w:type="spellEnd"/>
      <w:r w:rsidRPr="0095350E">
        <w:rPr>
          <w:rFonts w:ascii="Times New Roman" w:hAnsi="Times New Roman"/>
          <w:sz w:val="24"/>
          <w:szCs w:val="24"/>
          <w:lang w:val="es-ES"/>
        </w:rPr>
        <w:t xml:space="preserve"> examinar a </w:t>
      </w:r>
      <w:proofErr w:type="spellStart"/>
      <w:r w:rsidRPr="0095350E">
        <w:rPr>
          <w:rFonts w:ascii="Times New Roman" w:hAnsi="Times New Roman"/>
          <w:sz w:val="24"/>
          <w:szCs w:val="24"/>
          <w:lang w:val="es-ES"/>
        </w:rPr>
        <w:t>relação</w:t>
      </w:r>
      <w:proofErr w:type="spellEnd"/>
      <w:r w:rsidRPr="0095350E">
        <w:rPr>
          <w:rFonts w:ascii="Times New Roman" w:hAnsi="Times New Roman"/>
          <w:sz w:val="24"/>
          <w:szCs w:val="24"/>
          <w:lang w:val="es-ES"/>
        </w:rPr>
        <w:t xml:space="preserve"> entre o uso académico de </w:t>
      </w:r>
      <w:proofErr w:type="spellStart"/>
      <w:r w:rsidRPr="0095350E">
        <w:rPr>
          <w:rFonts w:ascii="Times New Roman" w:hAnsi="Times New Roman"/>
          <w:sz w:val="24"/>
          <w:szCs w:val="24"/>
          <w:lang w:val="es-ES"/>
        </w:rPr>
        <w:t>ferramentas</w:t>
      </w:r>
      <w:proofErr w:type="spellEnd"/>
      <w:r w:rsidRPr="0095350E">
        <w:rPr>
          <w:rFonts w:ascii="Times New Roman" w:hAnsi="Times New Roman"/>
          <w:sz w:val="24"/>
          <w:szCs w:val="24"/>
          <w:lang w:val="es-ES"/>
        </w:rPr>
        <w:t xml:space="preserve"> de </w:t>
      </w:r>
      <w:proofErr w:type="spellStart"/>
      <w:r w:rsidRPr="0095350E">
        <w:rPr>
          <w:rFonts w:ascii="Times New Roman" w:hAnsi="Times New Roman"/>
          <w:sz w:val="24"/>
          <w:szCs w:val="24"/>
          <w:lang w:val="es-ES"/>
        </w:rPr>
        <w:t>inteligência</w:t>
      </w:r>
      <w:proofErr w:type="spellEnd"/>
      <w:r w:rsidRPr="0095350E">
        <w:rPr>
          <w:rFonts w:ascii="Times New Roman" w:hAnsi="Times New Roman"/>
          <w:sz w:val="24"/>
          <w:szCs w:val="24"/>
          <w:lang w:val="es-ES"/>
        </w:rPr>
        <w:t xml:space="preserve"> artificial generativa (IA) e o </w:t>
      </w:r>
      <w:proofErr w:type="spellStart"/>
      <w:r w:rsidRPr="0095350E">
        <w:rPr>
          <w:rFonts w:ascii="Times New Roman" w:hAnsi="Times New Roman"/>
          <w:sz w:val="24"/>
          <w:szCs w:val="24"/>
          <w:lang w:val="es-ES"/>
        </w:rPr>
        <w:t>desenvolvimento</w:t>
      </w:r>
      <w:proofErr w:type="spellEnd"/>
      <w:r w:rsidRPr="0095350E">
        <w:rPr>
          <w:rFonts w:ascii="Times New Roman" w:hAnsi="Times New Roman"/>
          <w:sz w:val="24"/>
          <w:szCs w:val="24"/>
          <w:lang w:val="es-ES"/>
        </w:rPr>
        <w:t xml:space="preserve"> do </w:t>
      </w:r>
      <w:proofErr w:type="spellStart"/>
      <w:r w:rsidRPr="0095350E">
        <w:rPr>
          <w:rFonts w:ascii="Times New Roman" w:hAnsi="Times New Roman"/>
          <w:sz w:val="24"/>
          <w:szCs w:val="24"/>
          <w:lang w:val="es-ES"/>
        </w:rPr>
        <w:t>pensamento</w:t>
      </w:r>
      <w:proofErr w:type="spellEnd"/>
      <w:r w:rsidRPr="0095350E">
        <w:rPr>
          <w:rFonts w:ascii="Times New Roman" w:hAnsi="Times New Roman"/>
          <w:sz w:val="24"/>
          <w:szCs w:val="24"/>
          <w:lang w:val="es-ES"/>
        </w:rPr>
        <w:t xml:space="preserve"> crítico em </w:t>
      </w:r>
      <w:proofErr w:type="spellStart"/>
      <w:r w:rsidRPr="0095350E">
        <w:rPr>
          <w:rFonts w:ascii="Times New Roman" w:hAnsi="Times New Roman"/>
          <w:sz w:val="24"/>
          <w:szCs w:val="24"/>
          <w:lang w:val="es-ES"/>
        </w:rPr>
        <w:t>estudantes</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universitários</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Foi</w:t>
      </w:r>
      <w:proofErr w:type="spellEnd"/>
      <w:r w:rsidRPr="0095350E">
        <w:rPr>
          <w:rFonts w:ascii="Times New Roman" w:hAnsi="Times New Roman"/>
          <w:sz w:val="24"/>
          <w:szCs w:val="24"/>
          <w:lang w:val="es-ES"/>
        </w:rPr>
        <w:t xml:space="preserve"> utilizada </w:t>
      </w:r>
      <w:proofErr w:type="spellStart"/>
      <w:r w:rsidRPr="0095350E">
        <w:rPr>
          <w:rFonts w:ascii="Times New Roman" w:hAnsi="Times New Roman"/>
          <w:sz w:val="24"/>
          <w:szCs w:val="24"/>
          <w:lang w:val="es-ES"/>
        </w:rPr>
        <w:t>uma</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abordagem</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quantitativa</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com</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um</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desenho</w:t>
      </w:r>
      <w:proofErr w:type="spellEnd"/>
      <w:r w:rsidRPr="0095350E">
        <w:rPr>
          <w:rFonts w:ascii="Times New Roman" w:hAnsi="Times New Roman"/>
          <w:sz w:val="24"/>
          <w:szCs w:val="24"/>
          <w:lang w:val="es-ES"/>
        </w:rPr>
        <w:t xml:space="preserve"> correlacional, aplicando </w:t>
      </w:r>
      <w:proofErr w:type="spellStart"/>
      <w:r w:rsidRPr="0095350E">
        <w:rPr>
          <w:rFonts w:ascii="Times New Roman" w:hAnsi="Times New Roman"/>
          <w:sz w:val="24"/>
          <w:szCs w:val="24"/>
          <w:lang w:val="es-ES"/>
        </w:rPr>
        <w:t>questionários</w:t>
      </w:r>
      <w:proofErr w:type="spellEnd"/>
      <w:r w:rsidRPr="0095350E">
        <w:rPr>
          <w:rFonts w:ascii="Times New Roman" w:hAnsi="Times New Roman"/>
          <w:sz w:val="24"/>
          <w:szCs w:val="24"/>
          <w:lang w:val="es-ES"/>
        </w:rPr>
        <w:t xml:space="preserve"> e o teste Watson-Glaser para avaliar as </w:t>
      </w:r>
      <w:proofErr w:type="spellStart"/>
      <w:r w:rsidRPr="0095350E">
        <w:rPr>
          <w:rFonts w:ascii="Times New Roman" w:hAnsi="Times New Roman"/>
          <w:sz w:val="24"/>
          <w:szCs w:val="24"/>
          <w:lang w:val="es-ES"/>
        </w:rPr>
        <w:t>competências</w:t>
      </w:r>
      <w:proofErr w:type="spellEnd"/>
      <w:r w:rsidRPr="0095350E">
        <w:rPr>
          <w:rFonts w:ascii="Times New Roman" w:hAnsi="Times New Roman"/>
          <w:sz w:val="24"/>
          <w:szCs w:val="24"/>
          <w:lang w:val="es-ES"/>
        </w:rPr>
        <w:t xml:space="preserve"> de </w:t>
      </w:r>
      <w:proofErr w:type="spellStart"/>
      <w:r w:rsidRPr="0095350E">
        <w:rPr>
          <w:rFonts w:ascii="Times New Roman" w:hAnsi="Times New Roman"/>
          <w:sz w:val="24"/>
          <w:szCs w:val="24"/>
          <w:lang w:val="es-ES"/>
        </w:rPr>
        <w:t>pensamento</w:t>
      </w:r>
      <w:proofErr w:type="spellEnd"/>
      <w:r w:rsidRPr="0095350E">
        <w:rPr>
          <w:rFonts w:ascii="Times New Roman" w:hAnsi="Times New Roman"/>
          <w:sz w:val="24"/>
          <w:szCs w:val="24"/>
          <w:lang w:val="es-ES"/>
        </w:rPr>
        <w:t xml:space="preserve"> crítico </w:t>
      </w:r>
      <w:proofErr w:type="spellStart"/>
      <w:r w:rsidRPr="0095350E">
        <w:rPr>
          <w:rFonts w:ascii="Times New Roman" w:hAnsi="Times New Roman"/>
          <w:sz w:val="24"/>
          <w:szCs w:val="24"/>
          <w:lang w:val="es-ES"/>
        </w:rPr>
        <w:t>numa</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amostra</w:t>
      </w:r>
      <w:proofErr w:type="spellEnd"/>
      <w:r w:rsidRPr="0095350E">
        <w:rPr>
          <w:rFonts w:ascii="Times New Roman" w:hAnsi="Times New Roman"/>
          <w:sz w:val="24"/>
          <w:szCs w:val="24"/>
          <w:lang w:val="es-ES"/>
        </w:rPr>
        <w:t xml:space="preserve"> de 75 </w:t>
      </w:r>
      <w:proofErr w:type="spellStart"/>
      <w:r w:rsidRPr="0095350E">
        <w:rPr>
          <w:rFonts w:ascii="Times New Roman" w:hAnsi="Times New Roman"/>
          <w:sz w:val="24"/>
          <w:szCs w:val="24"/>
          <w:lang w:val="es-ES"/>
        </w:rPr>
        <w:t>estudantes</w:t>
      </w:r>
      <w:proofErr w:type="spellEnd"/>
      <w:r w:rsidRPr="0095350E">
        <w:rPr>
          <w:rFonts w:ascii="Times New Roman" w:hAnsi="Times New Roman"/>
          <w:sz w:val="24"/>
          <w:szCs w:val="24"/>
          <w:lang w:val="es-ES"/>
        </w:rPr>
        <w:t xml:space="preserve"> de diversas áreas. Os resultados </w:t>
      </w:r>
      <w:proofErr w:type="spellStart"/>
      <w:r w:rsidRPr="0095350E">
        <w:rPr>
          <w:rFonts w:ascii="Times New Roman" w:hAnsi="Times New Roman"/>
          <w:sz w:val="24"/>
          <w:szCs w:val="24"/>
          <w:lang w:val="es-ES"/>
        </w:rPr>
        <w:t>revelaram</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uma</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correlação</w:t>
      </w:r>
      <w:proofErr w:type="spellEnd"/>
      <w:r w:rsidRPr="0095350E">
        <w:rPr>
          <w:rFonts w:ascii="Times New Roman" w:hAnsi="Times New Roman"/>
          <w:sz w:val="24"/>
          <w:szCs w:val="24"/>
          <w:lang w:val="es-ES"/>
        </w:rPr>
        <w:t xml:space="preserve"> positiva moderada-alta (r = 0,63) entre o uso reflexivo da IA ​​generativa e o </w:t>
      </w:r>
      <w:proofErr w:type="spellStart"/>
      <w:r w:rsidRPr="0095350E">
        <w:rPr>
          <w:rFonts w:ascii="Times New Roman" w:hAnsi="Times New Roman"/>
          <w:sz w:val="24"/>
          <w:szCs w:val="24"/>
          <w:lang w:val="es-ES"/>
        </w:rPr>
        <w:t>fortalecimento</w:t>
      </w:r>
      <w:proofErr w:type="spellEnd"/>
      <w:r w:rsidRPr="0095350E">
        <w:rPr>
          <w:rFonts w:ascii="Times New Roman" w:hAnsi="Times New Roman"/>
          <w:sz w:val="24"/>
          <w:szCs w:val="24"/>
          <w:lang w:val="es-ES"/>
        </w:rPr>
        <w:t xml:space="preserve"> do </w:t>
      </w:r>
      <w:proofErr w:type="spellStart"/>
      <w:r w:rsidRPr="0095350E">
        <w:rPr>
          <w:rFonts w:ascii="Times New Roman" w:hAnsi="Times New Roman"/>
          <w:sz w:val="24"/>
          <w:szCs w:val="24"/>
          <w:lang w:val="es-ES"/>
        </w:rPr>
        <w:t>pensamento</w:t>
      </w:r>
      <w:proofErr w:type="spellEnd"/>
      <w:r w:rsidRPr="0095350E">
        <w:rPr>
          <w:rFonts w:ascii="Times New Roman" w:hAnsi="Times New Roman"/>
          <w:sz w:val="24"/>
          <w:szCs w:val="24"/>
          <w:lang w:val="es-ES"/>
        </w:rPr>
        <w:t xml:space="preserve"> crítico. 61,3% dos participantes </w:t>
      </w:r>
      <w:proofErr w:type="spellStart"/>
      <w:r w:rsidRPr="0095350E">
        <w:rPr>
          <w:rFonts w:ascii="Times New Roman" w:hAnsi="Times New Roman"/>
          <w:sz w:val="24"/>
          <w:szCs w:val="24"/>
          <w:lang w:val="es-ES"/>
        </w:rPr>
        <w:t>indicaram</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melhorias</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na</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sua</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capacidade</w:t>
      </w:r>
      <w:proofErr w:type="spellEnd"/>
      <w:r w:rsidRPr="0095350E">
        <w:rPr>
          <w:rFonts w:ascii="Times New Roman" w:hAnsi="Times New Roman"/>
          <w:sz w:val="24"/>
          <w:szCs w:val="24"/>
          <w:lang w:val="es-ES"/>
        </w:rPr>
        <w:t xml:space="preserve"> de argumentar, avaliar </w:t>
      </w:r>
      <w:proofErr w:type="spellStart"/>
      <w:r w:rsidRPr="0095350E">
        <w:rPr>
          <w:rFonts w:ascii="Times New Roman" w:hAnsi="Times New Roman"/>
          <w:sz w:val="24"/>
          <w:szCs w:val="24"/>
          <w:lang w:val="es-ES"/>
        </w:rPr>
        <w:t>informação</w:t>
      </w:r>
      <w:proofErr w:type="spellEnd"/>
      <w:r w:rsidRPr="0095350E">
        <w:rPr>
          <w:rFonts w:ascii="Times New Roman" w:hAnsi="Times New Roman"/>
          <w:sz w:val="24"/>
          <w:szCs w:val="24"/>
          <w:lang w:val="es-ES"/>
        </w:rPr>
        <w:t xml:space="preserve"> e formular </w:t>
      </w:r>
      <w:proofErr w:type="spellStart"/>
      <w:r w:rsidRPr="0095350E">
        <w:rPr>
          <w:rFonts w:ascii="Times New Roman" w:hAnsi="Times New Roman"/>
          <w:sz w:val="24"/>
          <w:szCs w:val="24"/>
          <w:lang w:val="es-ES"/>
        </w:rPr>
        <w:t>juízos</w:t>
      </w:r>
      <w:proofErr w:type="spellEnd"/>
      <w:r w:rsidRPr="0095350E">
        <w:rPr>
          <w:rFonts w:ascii="Times New Roman" w:hAnsi="Times New Roman"/>
          <w:sz w:val="24"/>
          <w:szCs w:val="24"/>
          <w:lang w:val="es-ES"/>
        </w:rPr>
        <w:t xml:space="preserve">. A </w:t>
      </w:r>
      <w:proofErr w:type="spellStart"/>
      <w:r w:rsidRPr="0095350E">
        <w:rPr>
          <w:rFonts w:ascii="Times New Roman" w:hAnsi="Times New Roman"/>
          <w:sz w:val="24"/>
          <w:szCs w:val="24"/>
          <w:lang w:val="es-ES"/>
        </w:rPr>
        <w:t>maioria</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obteve</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pontuações</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médias</w:t>
      </w:r>
      <w:proofErr w:type="spellEnd"/>
      <w:r w:rsidRPr="0095350E">
        <w:rPr>
          <w:rFonts w:ascii="Times New Roman" w:hAnsi="Times New Roman"/>
          <w:sz w:val="24"/>
          <w:szCs w:val="24"/>
          <w:lang w:val="es-ES"/>
        </w:rPr>
        <w:t xml:space="preserve"> e elevadas em </w:t>
      </w:r>
      <w:proofErr w:type="spellStart"/>
      <w:r w:rsidRPr="0095350E">
        <w:rPr>
          <w:rFonts w:ascii="Times New Roman" w:hAnsi="Times New Roman"/>
          <w:sz w:val="24"/>
          <w:szCs w:val="24"/>
          <w:lang w:val="es-ES"/>
        </w:rPr>
        <w:t>raciocínio</w:t>
      </w:r>
      <w:proofErr w:type="spellEnd"/>
      <w:r w:rsidRPr="0095350E">
        <w:rPr>
          <w:rFonts w:ascii="Times New Roman" w:hAnsi="Times New Roman"/>
          <w:sz w:val="24"/>
          <w:szCs w:val="24"/>
          <w:lang w:val="es-ES"/>
        </w:rPr>
        <w:t xml:space="preserve"> lógico e </w:t>
      </w:r>
      <w:proofErr w:type="spellStart"/>
      <w:r w:rsidRPr="0095350E">
        <w:rPr>
          <w:rFonts w:ascii="Times New Roman" w:hAnsi="Times New Roman"/>
          <w:sz w:val="24"/>
          <w:szCs w:val="24"/>
          <w:lang w:val="es-ES"/>
        </w:rPr>
        <w:t>inferência</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Conclui</w:t>
      </w:r>
      <w:proofErr w:type="spellEnd"/>
      <w:r w:rsidRPr="0095350E">
        <w:rPr>
          <w:rFonts w:ascii="Times New Roman" w:hAnsi="Times New Roman"/>
          <w:sz w:val="24"/>
          <w:szCs w:val="24"/>
          <w:lang w:val="es-ES"/>
        </w:rPr>
        <w:t>-</w:t>
      </w:r>
      <w:proofErr w:type="spellStart"/>
      <w:r w:rsidRPr="0095350E">
        <w:rPr>
          <w:rFonts w:ascii="Times New Roman" w:hAnsi="Times New Roman"/>
          <w:sz w:val="24"/>
          <w:szCs w:val="24"/>
          <w:lang w:val="es-ES"/>
        </w:rPr>
        <w:t>se</w:t>
      </w:r>
      <w:proofErr w:type="spellEnd"/>
      <w:r w:rsidRPr="0095350E">
        <w:rPr>
          <w:rFonts w:ascii="Times New Roman" w:hAnsi="Times New Roman"/>
          <w:sz w:val="24"/>
          <w:szCs w:val="24"/>
          <w:lang w:val="es-ES"/>
        </w:rPr>
        <w:t xml:space="preserve"> que a </w:t>
      </w:r>
      <w:proofErr w:type="spellStart"/>
      <w:r w:rsidRPr="0095350E">
        <w:rPr>
          <w:rFonts w:ascii="Times New Roman" w:hAnsi="Times New Roman"/>
          <w:sz w:val="24"/>
          <w:szCs w:val="24"/>
          <w:lang w:val="es-ES"/>
        </w:rPr>
        <w:t>utilização</w:t>
      </w:r>
      <w:proofErr w:type="spellEnd"/>
      <w:r w:rsidRPr="0095350E">
        <w:rPr>
          <w:rFonts w:ascii="Times New Roman" w:hAnsi="Times New Roman"/>
          <w:sz w:val="24"/>
          <w:szCs w:val="24"/>
          <w:lang w:val="es-ES"/>
        </w:rPr>
        <w:t xml:space="preserve"> pedagógica estratégica de </w:t>
      </w:r>
      <w:proofErr w:type="spellStart"/>
      <w:r w:rsidRPr="0095350E">
        <w:rPr>
          <w:rFonts w:ascii="Times New Roman" w:hAnsi="Times New Roman"/>
          <w:sz w:val="24"/>
          <w:szCs w:val="24"/>
          <w:lang w:val="es-ES"/>
        </w:rPr>
        <w:t>ferramentas</w:t>
      </w:r>
      <w:proofErr w:type="spellEnd"/>
      <w:r w:rsidRPr="0095350E">
        <w:rPr>
          <w:rFonts w:ascii="Times New Roman" w:hAnsi="Times New Roman"/>
          <w:sz w:val="24"/>
          <w:szCs w:val="24"/>
          <w:lang w:val="es-ES"/>
        </w:rPr>
        <w:t xml:space="preserve"> de IA favorece o </w:t>
      </w:r>
      <w:proofErr w:type="spellStart"/>
      <w:r w:rsidRPr="0095350E">
        <w:rPr>
          <w:rFonts w:ascii="Times New Roman" w:hAnsi="Times New Roman"/>
          <w:sz w:val="24"/>
          <w:szCs w:val="24"/>
          <w:lang w:val="es-ES"/>
        </w:rPr>
        <w:t>desenvolvimento</w:t>
      </w:r>
      <w:proofErr w:type="spellEnd"/>
      <w:r w:rsidRPr="0095350E">
        <w:rPr>
          <w:rFonts w:ascii="Times New Roman" w:hAnsi="Times New Roman"/>
          <w:sz w:val="24"/>
          <w:szCs w:val="24"/>
          <w:lang w:val="es-ES"/>
        </w:rPr>
        <w:t xml:space="preserve"> de </w:t>
      </w:r>
      <w:proofErr w:type="spellStart"/>
      <w:r w:rsidRPr="0095350E">
        <w:rPr>
          <w:rFonts w:ascii="Times New Roman" w:hAnsi="Times New Roman"/>
          <w:sz w:val="24"/>
          <w:szCs w:val="24"/>
          <w:lang w:val="es-ES"/>
        </w:rPr>
        <w:t>competências</w:t>
      </w:r>
      <w:proofErr w:type="spellEnd"/>
      <w:r w:rsidRPr="0095350E">
        <w:rPr>
          <w:rFonts w:ascii="Times New Roman" w:hAnsi="Times New Roman"/>
          <w:sz w:val="24"/>
          <w:szCs w:val="24"/>
          <w:lang w:val="es-ES"/>
        </w:rPr>
        <w:t xml:space="preserve"> críticas em contextos académicos. A </w:t>
      </w:r>
      <w:proofErr w:type="spellStart"/>
      <w:r w:rsidRPr="0095350E">
        <w:rPr>
          <w:rFonts w:ascii="Times New Roman" w:hAnsi="Times New Roman"/>
          <w:sz w:val="24"/>
          <w:szCs w:val="24"/>
          <w:lang w:val="es-ES"/>
        </w:rPr>
        <w:t>integração</w:t>
      </w:r>
      <w:proofErr w:type="spellEnd"/>
      <w:r w:rsidRPr="0095350E">
        <w:rPr>
          <w:rFonts w:ascii="Times New Roman" w:hAnsi="Times New Roman"/>
          <w:sz w:val="24"/>
          <w:szCs w:val="24"/>
          <w:lang w:val="es-ES"/>
        </w:rPr>
        <w:t xml:space="preserve"> ética </w:t>
      </w:r>
      <w:proofErr w:type="gramStart"/>
      <w:r w:rsidRPr="0095350E">
        <w:rPr>
          <w:rFonts w:ascii="Times New Roman" w:hAnsi="Times New Roman"/>
          <w:sz w:val="24"/>
          <w:szCs w:val="24"/>
          <w:lang w:val="es-ES"/>
        </w:rPr>
        <w:t>e</w:t>
      </w:r>
      <w:proofErr w:type="gramEnd"/>
      <w:r w:rsidRPr="0095350E">
        <w:rPr>
          <w:rFonts w:ascii="Times New Roman" w:hAnsi="Times New Roman"/>
          <w:sz w:val="24"/>
          <w:szCs w:val="24"/>
          <w:lang w:val="es-ES"/>
        </w:rPr>
        <w:t xml:space="preserve"> consciente </w:t>
      </w:r>
      <w:proofErr w:type="spellStart"/>
      <w:r w:rsidRPr="0095350E">
        <w:rPr>
          <w:rFonts w:ascii="Times New Roman" w:hAnsi="Times New Roman"/>
          <w:sz w:val="24"/>
          <w:szCs w:val="24"/>
          <w:lang w:val="es-ES"/>
        </w:rPr>
        <w:t>destas</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tecnologias</w:t>
      </w:r>
      <w:proofErr w:type="spellEnd"/>
      <w:r w:rsidRPr="0095350E">
        <w:rPr>
          <w:rFonts w:ascii="Times New Roman" w:hAnsi="Times New Roman"/>
          <w:sz w:val="24"/>
          <w:szCs w:val="24"/>
          <w:lang w:val="es-ES"/>
        </w:rPr>
        <w:t xml:space="preserve"> aumenta a </w:t>
      </w:r>
      <w:proofErr w:type="spellStart"/>
      <w:r w:rsidRPr="0095350E">
        <w:rPr>
          <w:rFonts w:ascii="Times New Roman" w:hAnsi="Times New Roman"/>
          <w:sz w:val="24"/>
          <w:szCs w:val="24"/>
          <w:lang w:val="es-ES"/>
        </w:rPr>
        <w:t>autonomia</w:t>
      </w:r>
      <w:proofErr w:type="spellEnd"/>
      <w:r w:rsidRPr="0095350E">
        <w:rPr>
          <w:rFonts w:ascii="Times New Roman" w:hAnsi="Times New Roman"/>
          <w:sz w:val="24"/>
          <w:szCs w:val="24"/>
          <w:lang w:val="es-ES"/>
        </w:rPr>
        <w:t xml:space="preserve"> intelectual, a </w:t>
      </w:r>
      <w:proofErr w:type="spellStart"/>
      <w:r w:rsidRPr="0095350E">
        <w:rPr>
          <w:rFonts w:ascii="Times New Roman" w:hAnsi="Times New Roman"/>
          <w:sz w:val="24"/>
          <w:szCs w:val="24"/>
          <w:lang w:val="es-ES"/>
        </w:rPr>
        <w:t>análise</w:t>
      </w:r>
      <w:proofErr w:type="spellEnd"/>
      <w:r w:rsidRPr="0095350E">
        <w:rPr>
          <w:rFonts w:ascii="Times New Roman" w:hAnsi="Times New Roman"/>
          <w:sz w:val="24"/>
          <w:szCs w:val="24"/>
          <w:lang w:val="es-ES"/>
        </w:rPr>
        <w:t xml:space="preserve"> </w:t>
      </w:r>
      <w:proofErr w:type="spellStart"/>
      <w:r w:rsidRPr="0095350E">
        <w:rPr>
          <w:rFonts w:ascii="Times New Roman" w:hAnsi="Times New Roman"/>
          <w:sz w:val="24"/>
          <w:szCs w:val="24"/>
          <w:lang w:val="es-ES"/>
        </w:rPr>
        <w:t>aprofundada</w:t>
      </w:r>
      <w:proofErr w:type="spellEnd"/>
      <w:r w:rsidRPr="0095350E">
        <w:rPr>
          <w:rFonts w:ascii="Times New Roman" w:hAnsi="Times New Roman"/>
          <w:sz w:val="24"/>
          <w:szCs w:val="24"/>
          <w:lang w:val="es-ES"/>
        </w:rPr>
        <w:t xml:space="preserve"> e o </w:t>
      </w:r>
      <w:proofErr w:type="spellStart"/>
      <w:r w:rsidRPr="0095350E">
        <w:rPr>
          <w:rFonts w:ascii="Times New Roman" w:hAnsi="Times New Roman"/>
          <w:sz w:val="24"/>
          <w:szCs w:val="24"/>
          <w:lang w:val="es-ES"/>
        </w:rPr>
        <w:t>pensamento</w:t>
      </w:r>
      <w:proofErr w:type="spellEnd"/>
      <w:r w:rsidRPr="0095350E">
        <w:rPr>
          <w:rFonts w:ascii="Times New Roman" w:hAnsi="Times New Roman"/>
          <w:sz w:val="24"/>
          <w:szCs w:val="24"/>
          <w:lang w:val="es-ES"/>
        </w:rPr>
        <w:t xml:space="preserve"> reflexivo nos </w:t>
      </w:r>
      <w:proofErr w:type="spellStart"/>
      <w:r w:rsidRPr="0095350E">
        <w:rPr>
          <w:rFonts w:ascii="Times New Roman" w:hAnsi="Times New Roman"/>
          <w:sz w:val="24"/>
          <w:szCs w:val="24"/>
          <w:lang w:val="es-ES"/>
        </w:rPr>
        <w:t>alunos</w:t>
      </w:r>
      <w:proofErr w:type="spellEnd"/>
      <w:r w:rsidR="00274504" w:rsidRPr="00274504">
        <w:rPr>
          <w:rFonts w:ascii="Times New Roman" w:hAnsi="Times New Roman"/>
          <w:sz w:val="24"/>
          <w:szCs w:val="24"/>
          <w:lang w:val="es-ES"/>
        </w:rPr>
        <w:t>.</w:t>
      </w:r>
    </w:p>
    <w:p w14:paraId="2675DF8D" w14:textId="66F7530D" w:rsidR="00251DF0" w:rsidRPr="00887FA8" w:rsidRDefault="00251DF0" w:rsidP="00F76AC6">
      <w:pPr>
        <w:tabs>
          <w:tab w:val="left" w:pos="5700"/>
        </w:tabs>
        <w:spacing w:after="0" w:line="360" w:lineRule="auto"/>
        <w:contextualSpacing/>
        <w:jc w:val="both"/>
        <w:rPr>
          <w:rFonts w:ascii="Times New Roman" w:hAnsi="Times New Roman"/>
          <w:sz w:val="24"/>
          <w:szCs w:val="24"/>
          <w:lang w:val="es-ES"/>
        </w:rPr>
      </w:pPr>
      <w:proofErr w:type="spellStart"/>
      <w:r w:rsidRPr="00887FA8">
        <w:rPr>
          <w:rFonts w:ascii="Times New Roman" w:hAnsi="Times New Roman"/>
          <w:b/>
          <w:sz w:val="24"/>
          <w:szCs w:val="24"/>
          <w:lang w:val="es-ES"/>
        </w:rPr>
        <w:t>Palavras</w:t>
      </w:r>
      <w:proofErr w:type="spellEnd"/>
      <w:r w:rsidRPr="00887FA8">
        <w:rPr>
          <w:rFonts w:ascii="Times New Roman" w:hAnsi="Times New Roman"/>
          <w:b/>
          <w:sz w:val="24"/>
          <w:szCs w:val="24"/>
          <w:lang w:val="es-ES"/>
        </w:rPr>
        <w:t>-chave:</w:t>
      </w:r>
      <w:r w:rsidRPr="00887FA8">
        <w:rPr>
          <w:rFonts w:ascii="Times New Roman" w:hAnsi="Times New Roman"/>
          <w:sz w:val="24"/>
          <w:szCs w:val="24"/>
          <w:lang w:val="es-ES"/>
        </w:rPr>
        <w:t xml:space="preserve"> </w:t>
      </w:r>
      <w:proofErr w:type="spellStart"/>
      <w:r w:rsidR="0095350E" w:rsidRPr="0095350E">
        <w:rPr>
          <w:rFonts w:ascii="Times New Roman" w:hAnsi="Times New Roman"/>
          <w:sz w:val="24"/>
          <w:szCs w:val="24"/>
          <w:lang w:val="es-ES"/>
        </w:rPr>
        <w:t>Inteligência</w:t>
      </w:r>
      <w:proofErr w:type="spellEnd"/>
      <w:r w:rsidR="0095350E" w:rsidRPr="0095350E">
        <w:rPr>
          <w:rFonts w:ascii="Times New Roman" w:hAnsi="Times New Roman"/>
          <w:sz w:val="24"/>
          <w:szCs w:val="24"/>
          <w:lang w:val="es-ES"/>
        </w:rPr>
        <w:t xml:space="preserve"> generativa; </w:t>
      </w:r>
      <w:proofErr w:type="spellStart"/>
      <w:r w:rsidR="0095350E" w:rsidRPr="0095350E">
        <w:rPr>
          <w:rFonts w:ascii="Times New Roman" w:hAnsi="Times New Roman"/>
          <w:sz w:val="24"/>
          <w:szCs w:val="24"/>
          <w:lang w:val="es-ES"/>
        </w:rPr>
        <w:t>Pensamento</w:t>
      </w:r>
      <w:proofErr w:type="spellEnd"/>
      <w:r w:rsidR="0095350E" w:rsidRPr="0095350E">
        <w:rPr>
          <w:rFonts w:ascii="Times New Roman" w:hAnsi="Times New Roman"/>
          <w:sz w:val="24"/>
          <w:szCs w:val="24"/>
          <w:lang w:val="es-ES"/>
        </w:rPr>
        <w:t xml:space="preserve"> crítico; </w:t>
      </w:r>
      <w:proofErr w:type="spellStart"/>
      <w:r w:rsidR="0095350E" w:rsidRPr="0095350E">
        <w:rPr>
          <w:rFonts w:ascii="Times New Roman" w:hAnsi="Times New Roman"/>
          <w:sz w:val="24"/>
          <w:szCs w:val="24"/>
          <w:lang w:val="es-ES"/>
        </w:rPr>
        <w:t>Estudantes</w:t>
      </w:r>
      <w:proofErr w:type="spellEnd"/>
      <w:r w:rsidR="0095350E" w:rsidRPr="0095350E">
        <w:rPr>
          <w:rFonts w:ascii="Times New Roman" w:hAnsi="Times New Roman"/>
          <w:sz w:val="24"/>
          <w:szCs w:val="24"/>
          <w:lang w:val="es-ES"/>
        </w:rPr>
        <w:t xml:space="preserve"> </w:t>
      </w:r>
      <w:proofErr w:type="spellStart"/>
      <w:r w:rsidR="0095350E" w:rsidRPr="0095350E">
        <w:rPr>
          <w:rFonts w:ascii="Times New Roman" w:hAnsi="Times New Roman"/>
          <w:sz w:val="24"/>
          <w:szCs w:val="24"/>
          <w:lang w:val="es-ES"/>
        </w:rPr>
        <w:t>universitários</w:t>
      </w:r>
      <w:proofErr w:type="spellEnd"/>
      <w:r w:rsidR="007F5E49" w:rsidRPr="007F5E49">
        <w:rPr>
          <w:rFonts w:ascii="Times New Roman" w:hAnsi="Times New Roman"/>
          <w:sz w:val="24"/>
          <w:szCs w:val="24"/>
          <w:lang w:val="es-ES"/>
        </w:rPr>
        <w:t>.</w:t>
      </w:r>
    </w:p>
    <w:p w14:paraId="28B7290D" w14:textId="77777777" w:rsidR="0078274E" w:rsidRDefault="0078274E" w:rsidP="00157742">
      <w:pPr>
        <w:tabs>
          <w:tab w:val="left" w:pos="5700"/>
        </w:tabs>
        <w:spacing w:after="0" w:line="360" w:lineRule="auto"/>
        <w:contextualSpacing/>
        <w:jc w:val="both"/>
        <w:rPr>
          <w:rFonts w:ascii="Times New Roman" w:hAnsi="Times New Roman"/>
          <w:b/>
          <w:sz w:val="24"/>
          <w:szCs w:val="24"/>
          <w:lang w:val="es-ES"/>
        </w:rPr>
      </w:pPr>
    </w:p>
    <w:p w14:paraId="0AACAA36" w14:textId="04805B22" w:rsidR="00157742" w:rsidRDefault="002D13EE" w:rsidP="00157742">
      <w:pPr>
        <w:tabs>
          <w:tab w:val="left" w:pos="5700"/>
        </w:tabs>
        <w:spacing w:after="0" w:line="360" w:lineRule="auto"/>
        <w:contextualSpacing/>
        <w:jc w:val="both"/>
        <w:rPr>
          <w:rFonts w:ascii="Times New Roman" w:hAnsi="Times New Roman"/>
          <w:sz w:val="24"/>
          <w:szCs w:val="24"/>
          <w:lang w:val="es-ES"/>
        </w:rPr>
      </w:pPr>
      <w:r w:rsidRPr="00887FA8">
        <w:rPr>
          <w:rFonts w:ascii="Times New Roman" w:hAnsi="Times New Roman"/>
          <w:b/>
          <w:sz w:val="24"/>
          <w:szCs w:val="24"/>
          <w:lang w:val="es-ES"/>
        </w:rPr>
        <w:t>Introducción</w:t>
      </w:r>
    </w:p>
    <w:p w14:paraId="3951D6EF"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En los últimos años, la inteligencia artificial (IA) ha dejado de ser un concepto futurista para convertirse en parte activa de la vida cotidiana y, particularmente, de los procesos educativos, se aprecia así que este ecosistema digital está en constante evolución, la inteligencia generativa, aquella capaz de producir textos, imágenes, respuestas y argumentos de forma autónoma, ha emergido como una herramienta versátil que despierta tanto entusiasmo como cuestionamientos en el ámbito académico.</w:t>
      </w:r>
    </w:p>
    <w:p w14:paraId="13AF6299"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Muñoz et al. (2025) sostiene que la inteligencia artificial generativa, lejos de ser una amenaza para el pensamiento crítico, puede convertirse en una herramienta valiosa para fortalecerlo si se incorpora con responsabilidad en la educación superior, afirmando que el verdadero riesgo no es el uso de la tecnología en sí, sino su empleo acrítico y automático por parte de estudiantes y docentes; por ello, propone integrar estas herramientas mediante estrategias pedagógicas claras, formación ética en su uso y rediseño de métodos de evaluación que fomenten el análisis y la reflexión. En suma, el autor citado defiende que el reto actual no es evitar la IA, sino aprender a pensar con ella.</w:t>
      </w:r>
    </w:p>
    <w:p w14:paraId="4A663DE8"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A nivel universitario, donde se fomenta el pensamiento analítico y la construcción de conocimiento complejo, la incorporación de estas tecnologías plantea un escenario nuevo: ¿pueden las herramientas generativas contribuir realmente al desarrollo de habilidades como el pensamiento crítico? Esta pregunta adquiere especial relevancia en contextos regionales como el de la provincia de Manabí, Ecuador, donde se busca fortalecer la calidad educativa y promover competencias intelectuales esenciales para la participación activa en una sociedad globalizada.</w:t>
      </w:r>
    </w:p>
    <w:p w14:paraId="4F61BB35"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El pensamiento crítico, entendido como la capacidad para interpretar, analizar, evaluar y argumentar con lógica y fundamento, es una competencia fundamental en el perfil profesional de cualquier estudiante universitario; fomentarlo implica no solo enseñar contenidos, sino cultivar una actitud reflexiva ante la información que se recibe y se genera. En este sentido, la inteligencia generativa representa un recurso que, bien utilizado, puede estimular nuevas formas de razonamiento, promover la escritura reflexiva y facilitar el contraste de ideas desde múltiples perspectivas (</w:t>
      </w:r>
      <w:proofErr w:type="spellStart"/>
      <w:r w:rsidRPr="00C6016D">
        <w:rPr>
          <w:rFonts w:ascii="Times New Roman" w:hAnsi="Times New Roman"/>
          <w:bCs/>
          <w:sz w:val="24"/>
          <w:szCs w:val="24"/>
          <w:lang w:val="es-VE"/>
        </w:rPr>
        <w:t>Atencio</w:t>
      </w:r>
      <w:proofErr w:type="spellEnd"/>
      <w:r w:rsidRPr="00C6016D">
        <w:rPr>
          <w:rFonts w:ascii="Times New Roman" w:hAnsi="Times New Roman"/>
          <w:bCs/>
          <w:sz w:val="24"/>
          <w:szCs w:val="24"/>
          <w:lang w:val="es-VE"/>
        </w:rPr>
        <w:t xml:space="preserve"> et al., 2023).</w:t>
      </w:r>
    </w:p>
    <w:p w14:paraId="7357B67E"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Sin embargo, también existe el riesgo de que estas tecnologías se utilicen de forma mecánica, sin fomentar el análisis o la toma de postura personal, lo cual podría debilitar en lugar de fortalecer el pensamiento crítico; de allí resulta pertinente investigar cómo está siendo empleada la inteligencia generativa por los estudiantes universitarios y qué efectos puede estar teniendo en el desarrollo de esta competencia.</w:t>
      </w:r>
    </w:p>
    <w:p w14:paraId="0701029A"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La presente investigación se desarrolla bajo un enfoque cuantitativo, utilizando un diseño correlacional, y se propone analizar la relación entre el uso de herramientas de inteligencia generativa y el nivel de pensamiento crítico en una muestra de 50 estudiantes universitarios de distintas carreras académicas en Manabí. A través de instrumentos estructurados y pruebas estandarizadas, se espera identificar patrones significativos que contribuyan a comprender cómo estas tecnologías están influyendo en las prácticas cognitivas de los jóvenes y, al mismo tiempo, ofrecer lineamientos para su integración responsable en entornos educativos.</w:t>
      </w:r>
    </w:p>
    <w:p w14:paraId="4CCD871D"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 xml:space="preserve">Asimismo, los hallazgos de este estudio podrán orientar a docentes, instituciones educativas y diseñadores de políticas académicas, en la formulación de estrategias que favorezcan una integración ética, reflexiva y transformadora de estas herramientas emergentes en los espacios formativos, contribuyendo así al fortalecimiento de una educación universitaria crítica, pertinente y orientada al futuro. </w:t>
      </w:r>
    </w:p>
    <w:p w14:paraId="03C55415"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De igual manera, el estudio se convierte así en una oportunidad para explorar el equilibrio entre innovación tecnológica y formación intelectual, abriendo el camino hacia una pedagogía crítica que aproveche el potencial de la inteligencia artificial sin renunciar a la esencia humanista de la educación.</w:t>
      </w:r>
    </w:p>
    <w:p w14:paraId="4437565C"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
          <w:bCs/>
          <w:sz w:val="24"/>
          <w:szCs w:val="24"/>
          <w:lang w:val="es-VE"/>
        </w:rPr>
        <w:t>Inteligencia Artificial Generativa en la Educación</w:t>
      </w:r>
    </w:p>
    <w:p w14:paraId="19F8F21F"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La educación superior se encuentra en un momento de transformación profunda, impulsada por el avance vertiginoso de las tecnologías digitales; entre ellas, la inteligencia artificial generativa (IAG) ha irrumpido con fuerza, ofreciendo nuevas posibilidades para personalizar el aprendizaje, automatizar tareas académicas y ampliar el acceso al conocimiento. No obstante, su integración en el aula plantea interrogantes éticos, pedagógicos y sociales que requieren una reflexión crítica. Antes de abordar sus aplicaciones concretas, es necesario comprender cómo esta tecnología está reconfigurando los fundamentos del proceso educativo.</w:t>
      </w:r>
    </w:p>
    <w:p w14:paraId="7E6D5BE9"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Esta transformación educativa no puede abordarse sin considerar las voces que advierten sobre los riesgos y las oportunidades que plantea la inteligencia generativa; entre ellas, destaca la reflexión de Giannini (2023) desde la UNESCO, quien advierte que la inteligencia artificial generativa no debe ser adoptada de forma acrítica en los sistemas educativos.</w:t>
      </w:r>
    </w:p>
    <w:p w14:paraId="446BF2E1"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En su documento de reflexión, sostiene que la educación debe seguir siendo un acto profundamente humano, basado en la interacción social y el pensamiento autónomo; resaltando que, aunque la IAG abre horizontes para el aprendizaje, también puede socavar el rol del docente y promover una automatización excesiva si no se regula adecuadamente. Propone también, que los ministerios de educación desarrollen marcos normativos propios, en coordinación con organismos tecnológicos, para garantizar que la IA se utilice de manera ética, inclusiva y centrada en el ser humano; en definitiva, su visión defiende que la tecnología debe estar al servicio de la pedagogía, y no al revés.</w:t>
      </w:r>
    </w:p>
    <w:p w14:paraId="7C5177AD" w14:textId="77777777" w:rsidR="00C6016D" w:rsidRPr="00C6016D" w:rsidRDefault="00C6016D" w:rsidP="00C6016D">
      <w:pPr>
        <w:numPr>
          <w:ilvl w:val="0"/>
          <w:numId w:val="33"/>
        </w:numPr>
        <w:spacing w:after="0" w:line="360" w:lineRule="auto"/>
        <w:jc w:val="both"/>
        <w:rPr>
          <w:rFonts w:ascii="Times New Roman" w:hAnsi="Times New Roman"/>
          <w:bCs/>
          <w:iCs/>
          <w:sz w:val="24"/>
          <w:szCs w:val="24"/>
          <w:lang w:val="es-VE"/>
        </w:rPr>
      </w:pPr>
      <w:r w:rsidRPr="00C6016D">
        <w:rPr>
          <w:rFonts w:ascii="Times New Roman" w:hAnsi="Times New Roman"/>
          <w:bCs/>
          <w:iCs/>
          <w:sz w:val="24"/>
          <w:szCs w:val="24"/>
          <w:lang w:val="es-VE"/>
        </w:rPr>
        <w:t>Definición de IA generativa y sus capacidades (por ejemplo, generación de texto, síntesis de ideas, simulaciones).</w:t>
      </w:r>
    </w:p>
    <w:p w14:paraId="5C693529"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Complementando la visión ética y pedagógica de Giannini, resulta necesario comprender qué es la inteligencia generativa desde una perspectiva técnica y funcional, como lo plantean </w:t>
      </w:r>
      <w:proofErr w:type="spellStart"/>
      <w:r w:rsidRPr="00C6016D">
        <w:rPr>
          <w:rFonts w:ascii="Times New Roman" w:hAnsi="Times New Roman"/>
          <w:bCs/>
          <w:sz w:val="24"/>
          <w:szCs w:val="24"/>
          <w:lang w:val="es-VE"/>
        </w:rPr>
        <w:t>Stryker</w:t>
      </w:r>
      <w:proofErr w:type="spellEnd"/>
      <w:r w:rsidRPr="00C6016D">
        <w:rPr>
          <w:rFonts w:ascii="Times New Roman" w:hAnsi="Times New Roman"/>
          <w:bCs/>
          <w:sz w:val="24"/>
          <w:szCs w:val="24"/>
          <w:lang w:val="es-VE"/>
        </w:rPr>
        <w:t xml:space="preserve"> y </w:t>
      </w:r>
      <w:proofErr w:type="spellStart"/>
      <w:r w:rsidRPr="00C6016D">
        <w:rPr>
          <w:rFonts w:ascii="Times New Roman" w:hAnsi="Times New Roman"/>
          <w:bCs/>
          <w:sz w:val="24"/>
          <w:szCs w:val="24"/>
          <w:lang w:val="es-VE"/>
        </w:rPr>
        <w:t>Scapicchio</w:t>
      </w:r>
      <w:proofErr w:type="spellEnd"/>
      <w:r w:rsidRPr="00C6016D">
        <w:rPr>
          <w:rFonts w:ascii="Times New Roman" w:hAnsi="Times New Roman"/>
          <w:bCs/>
          <w:sz w:val="24"/>
          <w:szCs w:val="24"/>
          <w:lang w:val="es-VE"/>
        </w:rPr>
        <w:t xml:space="preserve"> (2024), quienes destacan la definición que IBM hace de la IA generativa, la cual es una tecnología basada en modelos de aprendizaje profundo que permite</w:t>
      </w:r>
      <w:r w:rsidRPr="00C6016D">
        <w:rPr>
          <w:rFonts w:ascii="Times New Roman" w:hAnsi="Times New Roman"/>
          <w:b/>
          <w:bCs/>
          <w:sz w:val="24"/>
          <w:szCs w:val="24"/>
          <w:lang w:val="es-VE"/>
        </w:rPr>
        <w:t xml:space="preserve"> </w:t>
      </w:r>
      <w:r w:rsidRPr="00C6016D">
        <w:rPr>
          <w:rFonts w:ascii="Times New Roman" w:hAnsi="Times New Roman"/>
          <w:bCs/>
          <w:sz w:val="24"/>
          <w:szCs w:val="24"/>
          <w:lang w:val="es-VE"/>
        </w:rPr>
        <w:t>crear contenido original, como texto, imágenes, audio, video o código, en respuesta a instrucciones humanas. Estos modelos identifican patrones en grandes volúmenes de datos y los utilizan para generar respuestas coherentes, creativas y contextualmente relevantes.</w:t>
      </w:r>
    </w:p>
    <w:p w14:paraId="4B2955E9" w14:textId="77777777" w:rsidR="00C6016D" w:rsidRPr="00C6016D" w:rsidRDefault="00C6016D" w:rsidP="00C6016D">
      <w:pPr>
        <w:numPr>
          <w:ilvl w:val="0"/>
          <w:numId w:val="33"/>
        </w:numPr>
        <w:spacing w:after="0" w:line="360" w:lineRule="auto"/>
        <w:jc w:val="both"/>
        <w:rPr>
          <w:rFonts w:ascii="Times New Roman" w:hAnsi="Times New Roman"/>
          <w:bCs/>
          <w:iCs/>
          <w:sz w:val="24"/>
          <w:szCs w:val="24"/>
          <w:lang w:val="es-VE"/>
        </w:rPr>
      </w:pPr>
      <w:r w:rsidRPr="00C6016D">
        <w:rPr>
          <w:rFonts w:ascii="Times New Roman" w:hAnsi="Times New Roman"/>
          <w:bCs/>
          <w:iCs/>
          <w:sz w:val="24"/>
          <w:szCs w:val="24"/>
          <w:lang w:val="es-VE"/>
        </w:rPr>
        <w:t>Herramientas principales utilizadas por estudiantes (</w:t>
      </w:r>
      <w:proofErr w:type="spellStart"/>
      <w:r w:rsidRPr="00C6016D">
        <w:rPr>
          <w:rFonts w:ascii="Times New Roman" w:hAnsi="Times New Roman"/>
          <w:bCs/>
          <w:iCs/>
          <w:sz w:val="24"/>
          <w:szCs w:val="24"/>
          <w:lang w:val="es-VE"/>
        </w:rPr>
        <w:t>ChatGPT</w:t>
      </w:r>
      <w:proofErr w:type="spellEnd"/>
      <w:r w:rsidRPr="00C6016D">
        <w:rPr>
          <w:rFonts w:ascii="Times New Roman" w:hAnsi="Times New Roman"/>
          <w:bCs/>
          <w:iCs/>
          <w:sz w:val="24"/>
          <w:szCs w:val="24"/>
          <w:lang w:val="es-VE"/>
        </w:rPr>
        <w:t xml:space="preserve">, </w:t>
      </w:r>
      <w:proofErr w:type="spellStart"/>
      <w:r w:rsidRPr="00C6016D">
        <w:rPr>
          <w:rFonts w:ascii="Times New Roman" w:hAnsi="Times New Roman"/>
          <w:bCs/>
          <w:iCs/>
          <w:sz w:val="24"/>
          <w:szCs w:val="24"/>
          <w:lang w:val="es-VE"/>
        </w:rPr>
        <w:t>Copilot</w:t>
      </w:r>
      <w:proofErr w:type="spellEnd"/>
      <w:r w:rsidRPr="00C6016D">
        <w:rPr>
          <w:rFonts w:ascii="Times New Roman" w:hAnsi="Times New Roman"/>
          <w:bCs/>
          <w:iCs/>
          <w:sz w:val="24"/>
          <w:szCs w:val="24"/>
          <w:lang w:val="es-VE"/>
        </w:rPr>
        <w:t>, Gemini, entre otros).</w:t>
      </w:r>
    </w:p>
    <w:p w14:paraId="0BD1BAB1"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A partir de esta definición funcional de la IA generativa, resulta imprescindible observar cómo estas capacidades se materializan en herramientas concretas, especialmente aquellas que han ganado protagonismo entre estudiantes universitarios como </w:t>
      </w:r>
      <w:proofErr w:type="spellStart"/>
      <w:r w:rsidRPr="00C6016D">
        <w:rPr>
          <w:rFonts w:ascii="Times New Roman" w:hAnsi="Times New Roman"/>
          <w:bCs/>
          <w:sz w:val="24"/>
          <w:szCs w:val="24"/>
          <w:lang w:val="es-VE"/>
        </w:rPr>
        <w:t>ChatGPT</w:t>
      </w:r>
      <w:proofErr w:type="spellEnd"/>
      <w:r w:rsidRPr="00C6016D">
        <w:rPr>
          <w:rFonts w:ascii="Times New Roman" w:hAnsi="Times New Roman"/>
          <w:bCs/>
          <w:sz w:val="24"/>
          <w:szCs w:val="24"/>
          <w:lang w:val="es-VE"/>
        </w:rPr>
        <w:t xml:space="preserve">, </w:t>
      </w:r>
      <w:proofErr w:type="spellStart"/>
      <w:r w:rsidRPr="00C6016D">
        <w:rPr>
          <w:rFonts w:ascii="Times New Roman" w:hAnsi="Times New Roman"/>
          <w:bCs/>
          <w:sz w:val="24"/>
          <w:szCs w:val="24"/>
          <w:lang w:val="es-VE"/>
        </w:rPr>
        <w:t>Copilot</w:t>
      </w:r>
      <w:proofErr w:type="spellEnd"/>
      <w:r w:rsidRPr="00C6016D">
        <w:rPr>
          <w:rFonts w:ascii="Times New Roman" w:hAnsi="Times New Roman"/>
          <w:bCs/>
          <w:sz w:val="24"/>
          <w:szCs w:val="24"/>
          <w:lang w:val="es-VE"/>
        </w:rPr>
        <w:t xml:space="preserve"> y Gemini; estas plataformas se han convertido en auténticos asistentes académicos para los estudiantes universitarios, por su accesibilidad y rapidez, así como también por la posibilidad que ofrecen de explorar ideas, ensayar argumentos y construir textos con base en modelos avanzados de lenguaje. </w:t>
      </w:r>
    </w:p>
    <w:p w14:paraId="07F3D320"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En muchos casos, estas herramientas no sustituyen el pensamiento del estudiante, sino que lo empujan a reconsiderar enfoques, a contrastar interpretaciones y a verbalizar con mayor claridad lo que antes pensaba de forma dispersa. Ahora bien, su impacto positivo depende del uso pedagógicamente orientado y de una actitud reflexiva frente a los resultados que generan.</w:t>
      </w:r>
    </w:p>
    <w:p w14:paraId="2FF7164B"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Tras comprender las capacidades técnicas de la IA generativa y su impacto ético en la educación, como plantea Giannini (2023), resulta pertinente observar cómo estas herramientas se concretan en el aula, tal como lo analizan Muñoz et al. (2025) en su comparación entre </w:t>
      </w:r>
      <w:proofErr w:type="spellStart"/>
      <w:r w:rsidRPr="00C6016D">
        <w:rPr>
          <w:rFonts w:ascii="Times New Roman" w:hAnsi="Times New Roman"/>
          <w:bCs/>
          <w:sz w:val="24"/>
          <w:szCs w:val="24"/>
          <w:lang w:val="es-VE"/>
        </w:rPr>
        <w:t>ChatGPT</w:t>
      </w:r>
      <w:proofErr w:type="spellEnd"/>
      <w:r w:rsidRPr="00C6016D">
        <w:rPr>
          <w:rFonts w:ascii="Times New Roman" w:hAnsi="Times New Roman"/>
          <w:bCs/>
          <w:sz w:val="24"/>
          <w:szCs w:val="24"/>
          <w:lang w:val="es-VE"/>
        </w:rPr>
        <w:t xml:space="preserve">, Gemini y </w:t>
      </w:r>
      <w:proofErr w:type="spellStart"/>
      <w:r w:rsidRPr="00C6016D">
        <w:rPr>
          <w:rFonts w:ascii="Times New Roman" w:hAnsi="Times New Roman"/>
          <w:bCs/>
          <w:sz w:val="24"/>
          <w:szCs w:val="24"/>
          <w:lang w:val="es-VE"/>
        </w:rPr>
        <w:t>Copilot</w:t>
      </w:r>
      <w:proofErr w:type="spellEnd"/>
      <w:r w:rsidRPr="00C6016D">
        <w:rPr>
          <w:rFonts w:ascii="Times New Roman" w:hAnsi="Times New Roman"/>
          <w:bCs/>
          <w:sz w:val="24"/>
          <w:szCs w:val="24"/>
          <w:lang w:val="es-VE"/>
        </w:rPr>
        <w:t>.</w:t>
      </w:r>
    </w:p>
    <w:p w14:paraId="351F0068"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Los autores señalados, analizan cómo estas herramientas están transformando la experiencia de aprendizaje en el aula. Señalan que </w:t>
      </w:r>
      <w:proofErr w:type="spellStart"/>
      <w:r w:rsidRPr="00C6016D">
        <w:rPr>
          <w:rFonts w:ascii="Times New Roman" w:hAnsi="Times New Roman"/>
          <w:bCs/>
          <w:sz w:val="24"/>
          <w:szCs w:val="24"/>
          <w:lang w:val="es-VE"/>
        </w:rPr>
        <w:t>ChatGPT</w:t>
      </w:r>
      <w:proofErr w:type="spellEnd"/>
      <w:r w:rsidRPr="00C6016D">
        <w:rPr>
          <w:rFonts w:ascii="Times New Roman" w:hAnsi="Times New Roman"/>
          <w:bCs/>
          <w:sz w:val="24"/>
          <w:szCs w:val="24"/>
          <w:lang w:val="es-VE"/>
        </w:rPr>
        <w:t xml:space="preserve">, se destaca por su facilidad de uso y capacidad para ofrecer respuestas rápidas, lo que lo convierte en un asistente virtual ideal para tareas como redacción de ensayos o explicación de conceptos. Por otro lado, Gemini, desarrollado por Google, promueve una mayor reflexión crítica, ya que responde, planteando preguntas que obligan al estudiante a profundizar en sus ideas; en cuanto a </w:t>
      </w:r>
      <w:proofErr w:type="spellStart"/>
      <w:r w:rsidRPr="00C6016D">
        <w:rPr>
          <w:rFonts w:ascii="Times New Roman" w:hAnsi="Times New Roman"/>
          <w:bCs/>
          <w:sz w:val="24"/>
          <w:szCs w:val="24"/>
          <w:lang w:val="es-VE"/>
        </w:rPr>
        <w:t>Copilot</w:t>
      </w:r>
      <w:proofErr w:type="spellEnd"/>
      <w:r w:rsidRPr="00C6016D">
        <w:rPr>
          <w:rFonts w:ascii="Times New Roman" w:hAnsi="Times New Roman"/>
          <w:bCs/>
          <w:sz w:val="24"/>
          <w:szCs w:val="24"/>
          <w:lang w:val="es-VE"/>
        </w:rPr>
        <w:t>, resalta su utilidad en la automatización de tareas académicas, especialmente en entornos como Word, Excel o PowerPoint, facilitando la productividad y el análisis de datos.</w:t>
      </w:r>
    </w:p>
    <w:p w14:paraId="015F625D" w14:textId="518E3393" w:rsid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Muñoz et al. (2025) concluyen que estas herramientas no deben verse como excluyentes, sino como complementarias, capaces de enriquecer el proceso educativo si se utilizan con un enfoque pedagógico claro.</w:t>
      </w:r>
    </w:p>
    <w:p w14:paraId="575D641F" w14:textId="34D6CB4F" w:rsidR="00C6016D" w:rsidRDefault="00C6016D" w:rsidP="00C6016D">
      <w:pPr>
        <w:spacing w:after="0" w:line="360" w:lineRule="auto"/>
        <w:jc w:val="both"/>
        <w:rPr>
          <w:rFonts w:ascii="Times New Roman" w:hAnsi="Times New Roman"/>
          <w:bCs/>
          <w:sz w:val="24"/>
          <w:szCs w:val="24"/>
          <w:lang w:val="es-VE"/>
        </w:rPr>
      </w:pPr>
    </w:p>
    <w:p w14:paraId="2F426B92" w14:textId="77777777" w:rsidR="00C6016D" w:rsidRPr="00C6016D" w:rsidRDefault="00C6016D" w:rsidP="00C6016D">
      <w:pPr>
        <w:spacing w:after="0" w:line="360" w:lineRule="auto"/>
        <w:jc w:val="both"/>
        <w:rPr>
          <w:rFonts w:ascii="Times New Roman" w:hAnsi="Times New Roman"/>
          <w:bCs/>
          <w:sz w:val="24"/>
          <w:szCs w:val="24"/>
          <w:lang w:val="es-VE"/>
        </w:rPr>
      </w:pPr>
    </w:p>
    <w:p w14:paraId="434D2F53" w14:textId="77777777" w:rsidR="00C6016D" w:rsidRPr="00C6016D" w:rsidRDefault="00C6016D" w:rsidP="00C6016D">
      <w:pPr>
        <w:numPr>
          <w:ilvl w:val="0"/>
          <w:numId w:val="33"/>
        </w:numPr>
        <w:spacing w:after="0" w:line="360" w:lineRule="auto"/>
        <w:jc w:val="both"/>
        <w:rPr>
          <w:rFonts w:ascii="Times New Roman" w:hAnsi="Times New Roman"/>
          <w:bCs/>
          <w:iCs/>
          <w:sz w:val="24"/>
          <w:szCs w:val="24"/>
          <w:lang w:val="es-VE"/>
        </w:rPr>
      </w:pPr>
      <w:r w:rsidRPr="00C6016D">
        <w:rPr>
          <w:rFonts w:ascii="Times New Roman" w:hAnsi="Times New Roman"/>
          <w:bCs/>
          <w:iCs/>
          <w:sz w:val="24"/>
          <w:szCs w:val="24"/>
          <w:lang w:val="es-VE"/>
        </w:rPr>
        <w:t>Rol de la IA en el aprendizaje autónomo, redacción, resolución de problemas y consulta académica.</w:t>
      </w:r>
    </w:p>
    <w:p w14:paraId="031D5D12"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La incorporación de la inteligencia artificial en la educación superior ha generado un cambio sustancial en la forma en que los estudiantes interactúan con el conocimiento; más allá de su capacidad para automatizar tareas, la IA ha comenzado a desempeñar un papel activo en el desarrollo de habilidades académicas clave, como la redacción, la resolución de problemas y la consulta autónoma de información. Estas funciones, antes reservadas exclusivamente al esfuerzo humano, ahora se ven complementadas por sistemas capaces de ofrecer retroalimentación inmediata, generar ideas y facilitar el acceso a fuentes confiables. En este contexto, resulta pertinente analizar cómo la IA está transformando el aprendizaje universitario desde una perspectiva pedagógica y funcional.</w:t>
      </w:r>
    </w:p>
    <w:p w14:paraId="18883948"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Menacho et al. (2024) afirman que la inteligencia artificial representa una herramienta crucial para el aprendizaje autónomo en la educación superior, siempre que se utilice con ética y responsabilidad. A través de una muestra de 200 estudiantes, encontraron que más del 90% considera que la IA optimiza el tiempo en la búsqueda de información académica, mejora la comprensión de contenidos y facilita la redacción de trabajos. Además, destacan que la IA permite personalizar el aprendizaje, adaptándose al estilo cognitivo de cada estudiante y promoviendo la autoevaluación constante.</w:t>
      </w:r>
    </w:p>
    <w:p w14:paraId="3D0A4C69"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Lo expresado por Menacho et al (2024) permite concluir, que la IA agiliza procesos académicos, fortaleciendo la autonomía intelectual del estudiante, al ofrecerle herramientas que estimulan la reflexión, la organización de ideas y la resolución eficiente de problemas. Su uso responsable puede convertirse en un aliado estratégico para mejorar la calidad del aprendizaje universitario.</w:t>
      </w:r>
    </w:p>
    <w:p w14:paraId="4F222D0A" w14:textId="77777777" w:rsidR="00C6016D" w:rsidRPr="00C6016D" w:rsidRDefault="00C6016D" w:rsidP="00C6016D">
      <w:pPr>
        <w:numPr>
          <w:ilvl w:val="0"/>
          <w:numId w:val="33"/>
        </w:numPr>
        <w:spacing w:after="0" w:line="360" w:lineRule="auto"/>
        <w:jc w:val="both"/>
        <w:rPr>
          <w:rFonts w:ascii="Times New Roman" w:hAnsi="Times New Roman"/>
          <w:bCs/>
          <w:iCs/>
          <w:sz w:val="24"/>
          <w:szCs w:val="24"/>
          <w:lang w:val="es-VE"/>
        </w:rPr>
      </w:pPr>
      <w:r w:rsidRPr="00C6016D">
        <w:rPr>
          <w:rFonts w:ascii="Times New Roman" w:hAnsi="Times New Roman"/>
          <w:bCs/>
          <w:iCs/>
          <w:sz w:val="24"/>
          <w:szCs w:val="24"/>
          <w:lang w:val="es-VE"/>
        </w:rPr>
        <w:t>Riesgos y oportunidades de su uso en la formación universitaria.</w:t>
      </w:r>
    </w:p>
    <w:p w14:paraId="6D26AAC0"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Guzmán (2025) plantea que la IA generativa puede transformar positivamente la experiencia educativa, fomentando la autonomía, la creatividad y la eficiencia en el aprendizaje universitario; de igual manera advierte que su uso sin reflexión ni orientación pedagógica puede derivar en riesgos importantes, como:</w:t>
      </w:r>
    </w:p>
    <w:p w14:paraId="7F718AF2" w14:textId="77777777" w:rsidR="00C6016D" w:rsidRPr="00C6016D" w:rsidRDefault="00C6016D" w:rsidP="00C6016D">
      <w:pPr>
        <w:numPr>
          <w:ilvl w:val="0"/>
          <w:numId w:val="34"/>
        </w:num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Plagio académico.</w:t>
      </w:r>
    </w:p>
    <w:p w14:paraId="41EC6837" w14:textId="77777777" w:rsidR="00C6016D" w:rsidRPr="00C6016D" w:rsidRDefault="00C6016D" w:rsidP="00C6016D">
      <w:pPr>
        <w:numPr>
          <w:ilvl w:val="0"/>
          <w:numId w:val="34"/>
        </w:num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Dependencia excesiva de la tecnología.</w:t>
      </w:r>
    </w:p>
    <w:p w14:paraId="2566DB07" w14:textId="77777777" w:rsidR="00C6016D" w:rsidRPr="00C6016D" w:rsidRDefault="00C6016D" w:rsidP="00C6016D">
      <w:pPr>
        <w:numPr>
          <w:ilvl w:val="0"/>
          <w:numId w:val="34"/>
        </w:num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Superficialidad en el análisis.</w:t>
      </w:r>
    </w:p>
    <w:p w14:paraId="75ED553C" w14:textId="77777777" w:rsidR="00C6016D" w:rsidRPr="00C6016D" w:rsidRDefault="00C6016D" w:rsidP="00C6016D">
      <w:pPr>
        <w:numPr>
          <w:ilvl w:val="0"/>
          <w:numId w:val="34"/>
        </w:num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Pérdida del juicio propio.</w:t>
      </w:r>
    </w:p>
    <w:p w14:paraId="2CEBD9C1"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Además, indica que la IA no es buena ni mala en sí misma, sino que su impacto depende del uso ético y crítico que se le dé. Para aprovechar sus beneficios, propone cuatro claves:</w:t>
      </w:r>
    </w:p>
    <w:p w14:paraId="6F0D9DCC" w14:textId="77777777" w:rsidR="00C6016D" w:rsidRPr="00C6016D" w:rsidRDefault="00C6016D" w:rsidP="00C6016D">
      <w:pPr>
        <w:numPr>
          <w:ilvl w:val="0"/>
          <w:numId w:val="32"/>
        </w:numPr>
        <w:spacing w:after="0" w:line="360" w:lineRule="auto"/>
        <w:jc w:val="both"/>
        <w:rPr>
          <w:rFonts w:ascii="Times New Roman" w:hAnsi="Times New Roman"/>
          <w:bCs/>
          <w:sz w:val="24"/>
          <w:szCs w:val="24"/>
          <w:lang w:val="en-US"/>
        </w:rPr>
      </w:pPr>
      <w:r w:rsidRPr="00C6016D">
        <w:rPr>
          <w:rFonts w:ascii="Times New Roman" w:hAnsi="Times New Roman"/>
          <w:bCs/>
          <w:sz w:val="24"/>
          <w:szCs w:val="24"/>
        </w:rPr>
        <w:t>Formación en pensamiento crítico</w:t>
      </w:r>
      <w:r w:rsidRPr="00C6016D">
        <w:rPr>
          <w:rFonts w:ascii="Times New Roman" w:hAnsi="Times New Roman"/>
          <w:bCs/>
          <w:sz w:val="24"/>
          <w:szCs w:val="24"/>
          <w:lang w:val="en-US"/>
        </w:rPr>
        <w:t xml:space="preserve"> digital</w:t>
      </w:r>
    </w:p>
    <w:p w14:paraId="786B8F65" w14:textId="77777777" w:rsidR="00C6016D" w:rsidRPr="00C6016D" w:rsidRDefault="00C6016D" w:rsidP="00C6016D">
      <w:pPr>
        <w:numPr>
          <w:ilvl w:val="0"/>
          <w:numId w:val="32"/>
        </w:numPr>
        <w:spacing w:after="0" w:line="360" w:lineRule="auto"/>
        <w:jc w:val="both"/>
        <w:rPr>
          <w:rFonts w:ascii="Times New Roman" w:hAnsi="Times New Roman"/>
          <w:bCs/>
          <w:sz w:val="24"/>
          <w:szCs w:val="24"/>
        </w:rPr>
      </w:pPr>
      <w:r w:rsidRPr="00C6016D">
        <w:rPr>
          <w:rFonts w:ascii="Times New Roman" w:hAnsi="Times New Roman"/>
          <w:bCs/>
          <w:sz w:val="24"/>
          <w:szCs w:val="24"/>
          <w:lang w:val="es-VE"/>
        </w:rPr>
        <w:t xml:space="preserve">Uso de herramientas confiables </w:t>
      </w:r>
      <w:r w:rsidRPr="00C6016D">
        <w:rPr>
          <w:rFonts w:ascii="Times New Roman" w:hAnsi="Times New Roman"/>
          <w:bCs/>
          <w:sz w:val="24"/>
          <w:szCs w:val="24"/>
        </w:rPr>
        <w:t xml:space="preserve">como </w:t>
      </w:r>
      <w:proofErr w:type="spellStart"/>
      <w:r w:rsidRPr="00C6016D">
        <w:rPr>
          <w:rFonts w:ascii="Times New Roman" w:hAnsi="Times New Roman"/>
          <w:bCs/>
          <w:sz w:val="24"/>
          <w:szCs w:val="24"/>
        </w:rPr>
        <w:t>Notion</w:t>
      </w:r>
      <w:proofErr w:type="spellEnd"/>
      <w:r w:rsidRPr="00C6016D">
        <w:rPr>
          <w:rFonts w:ascii="Times New Roman" w:hAnsi="Times New Roman"/>
          <w:bCs/>
          <w:sz w:val="24"/>
          <w:szCs w:val="24"/>
        </w:rPr>
        <w:t xml:space="preserve"> AI, </w:t>
      </w:r>
      <w:proofErr w:type="spellStart"/>
      <w:r w:rsidRPr="00C6016D">
        <w:rPr>
          <w:rFonts w:ascii="Times New Roman" w:hAnsi="Times New Roman"/>
          <w:bCs/>
          <w:sz w:val="24"/>
          <w:szCs w:val="24"/>
        </w:rPr>
        <w:t>Elicit</w:t>
      </w:r>
      <w:proofErr w:type="spellEnd"/>
      <w:r w:rsidRPr="00C6016D">
        <w:rPr>
          <w:rFonts w:ascii="Times New Roman" w:hAnsi="Times New Roman"/>
          <w:bCs/>
          <w:sz w:val="24"/>
          <w:szCs w:val="24"/>
        </w:rPr>
        <w:t xml:space="preserve">, Grammarly, </w:t>
      </w:r>
      <w:proofErr w:type="spellStart"/>
      <w:r w:rsidRPr="00C6016D">
        <w:rPr>
          <w:rFonts w:ascii="Times New Roman" w:hAnsi="Times New Roman"/>
          <w:bCs/>
          <w:sz w:val="24"/>
          <w:szCs w:val="24"/>
        </w:rPr>
        <w:t>ChatGPT</w:t>
      </w:r>
      <w:proofErr w:type="spellEnd"/>
      <w:r w:rsidRPr="00C6016D">
        <w:rPr>
          <w:rFonts w:ascii="Times New Roman" w:hAnsi="Times New Roman"/>
          <w:bCs/>
          <w:sz w:val="24"/>
          <w:szCs w:val="24"/>
        </w:rPr>
        <w:t xml:space="preserve"> o Gemini</w:t>
      </w:r>
    </w:p>
    <w:p w14:paraId="5169124C" w14:textId="77777777" w:rsidR="00C6016D" w:rsidRPr="00C6016D" w:rsidRDefault="00C6016D" w:rsidP="00C6016D">
      <w:pPr>
        <w:numPr>
          <w:ilvl w:val="0"/>
          <w:numId w:val="32"/>
        </w:numPr>
        <w:spacing w:after="0" w:line="360" w:lineRule="auto"/>
        <w:jc w:val="both"/>
        <w:rPr>
          <w:rFonts w:ascii="Times New Roman" w:hAnsi="Times New Roman"/>
          <w:bCs/>
          <w:sz w:val="24"/>
          <w:szCs w:val="24"/>
        </w:rPr>
      </w:pPr>
      <w:r w:rsidRPr="00C6016D">
        <w:rPr>
          <w:rFonts w:ascii="Times New Roman" w:hAnsi="Times New Roman"/>
          <w:bCs/>
          <w:sz w:val="24"/>
          <w:szCs w:val="24"/>
        </w:rPr>
        <w:t>Acompañamiento docente constante</w:t>
      </w:r>
    </w:p>
    <w:p w14:paraId="46EFCA25" w14:textId="77777777" w:rsidR="00C6016D" w:rsidRPr="00C6016D" w:rsidRDefault="00C6016D" w:rsidP="00C6016D">
      <w:pPr>
        <w:numPr>
          <w:ilvl w:val="0"/>
          <w:numId w:val="32"/>
        </w:numPr>
        <w:spacing w:after="0" w:line="360" w:lineRule="auto"/>
        <w:jc w:val="both"/>
        <w:rPr>
          <w:rFonts w:ascii="Times New Roman" w:hAnsi="Times New Roman"/>
          <w:bCs/>
          <w:sz w:val="24"/>
          <w:szCs w:val="24"/>
          <w:lang w:val="es-VE"/>
        </w:rPr>
      </w:pPr>
      <w:r w:rsidRPr="00C6016D">
        <w:rPr>
          <w:rFonts w:ascii="Times New Roman" w:hAnsi="Times New Roman"/>
          <w:bCs/>
          <w:sz w:val="24"/>
          <w:szCs w:val="24"/>
        </w:rPr>
        <w:t xml:space="preserve">Proyectos de </w:t>
      </w:r>
      <w:proofErr w:type="spellStart"/>
      <w:r w:rsidRPr="00C6016D">
        <w:rPr>
          <w:rFonts w:ascii="Times New Roman" w:hAnsi="Times New Roman"/>
          <w:bCs/>
          <w:sz w:val="24"/>
          <w:szCs w:val="24"/>
        </w:rPr>
        <w:t>cocreación</w:t>
      </w:r>
      <w:proofErr w:type="spellEnd"/>
      <w:r w:rsidRPr="00C6016D">
        <w:rPr>
          <w:rFonts w:ascii="Times New Roman" w:hAnsi="Times New Roman"/>
          <w:bCs/>
          <w:sz w:val="24"/>
          <w:szCs w:val="24"/>
        </w:rPr>
        <w:t xml:space="preserve"> con IA que estimulen</w:t>
      </w:r>
      <w:r w:rsidRPr="00C6016D">
        <w:rPr>
          <w:rFonts w:ascii="Times New Roman" w:hAnsi="Times New Roman"/>
          <w:bCs/>
          <w:sz w:val="24"/>
          <w:szCs w:val="24"/>
          <w:lang w:val="es-VE"/>
        </w:rPr>
        <w:t xml:space="preserve"> el análisis y la autoría académica</w:t>
      </w:r>
    </w:p>
    <w:p w14:paraId="782AD3CA"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Lo que plantea Guzmán (2025), invita a reflexionar sobre la necesidad de construir una cultura digital crítica dentro de la universidad; su enfoque no sataniza el uso de la inteligencia artificial, sino que llama a integrar esta tecnología desde una postura formativa,</w:t>
      </w:r>
      <w:r w:rsidRPr="00C6016D">
        <w:rPr>
          <w:rFonts w:ascii="Times New Roman" w:hAnsi="Times New Roman"/>
          <w:b/>
          <w:bCs/>
          <w:sz w:val="24"/>
          <w:szCs w:val="24"/>
          <w:lang w:val="es-VE"/>
        </w:rPr>
        <w:t xml:space="preserve"> </w:t>
      </w:r>
      <w:r w:rsidRPr="00C6016D">
        <w:rPr>
          <w:rFonts w:ascii="Times New Roman" w:hAnsi="Times New Roman"/>
          <w:bCs/>
          <w:sz w:val="24"/>
          <w:szCs w:val="24"/>
          <w:lang w:val="es-VE"/>
        </w:rPr>
        <w:t>ética y pedagógicamente guiada, esto significa que el verdadero desafío no está en la herramienta, sino en la madurez académica con la que se la incorpora.</w:t>
      </w:r>
    </w:p>
    <w:p w14:paraId="1E0BF13C"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
          <w:bCs/>
          <w:sz w:val="24"/>
          <w:szCs w:val="24"/>
          <w:lang w:val="es-VE"/>
        </w:rPr>
        <w:t>Pensamiento Crítico: Conceptos, Modelos y Evaluación</w:t>
      </w:r>
    </w:p>
    <w:p w14:paraId="4B324038"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En el contexto universitario actual, marcado por la sobrecarga informativa y el uso creciente de tecnologías como la inteligencia artificial, el desarrollo del pensamiento crítico se ha convertido en una competencia esencial; esta habilidad permite analizar y evaluar información de manera razonada, impulsando la autonomía intelectual, la toma de decisiones fundamentadas y la capacidad de argumentar con claridad. Para comprender su alcance y profundidad, es necesario revisar las definiciones propuestas por los principales teóricos que han modelado este concepto en la educación superior.</w:t>
      </w:r>
    </w:p>
    <w:p w14:paraId="61D691BD"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Paul y Elder (2006) definen el pensamiento crítico como </w:t>
      </w:r>
      <w:r w:rsidRPr="00C6016D">
        <w:rPr>
          <w:rFonts w:ascii="Times New Roman" w:hAnsi="Times New Roman"/>
          <w:bCs/>
          <w:iCs/>
          <w:sz w:val="24"/>
          <w:szCs w:val="24"/>
          <w:lang w:val="es-VE"/>
        </w:rPr>
        <w:t>“el arte de analizar y evaluar el pensamiento con el propósito de mejorarlo”</w:t>
      </w:r>
      <w:r w:rsidRPr="00C6016D">
        <w:rPr>
          <w:rFonts w:ascii="Times New Roman" w:hAnsi="Times New Roman"/>
          <w:bCs/>
          <w:sz w:val="24"/>
          <w:szCs w:val="24"/>
          <w:lang w:val="es-VE"/>
        </w:rPr>
        <w:t>; en su enfoque, el pensador crítico debe dominar las estructuras del pensamiento (propósito, pregunta, información, inferencias, entre otros) y aplicar estándares intelectuales como claridad, precisión, relevancia y lógica.</w:t>
      </w:r>
    </w:p>
    <w:p w14:paraId="7FA1E0FD"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Por su parte Facione (2011), lo describe como </w:t>
      </w:r>
      <w:r w:rsidRPr="00C6016D">
        <w:rPr>
          <w:rFonts w:ascii="Times New Roman" w:hAnsi="Times New Roman"/>
          <w:bCs/>
          <w:iCs/>
          <w:sz w:val="24"/>
          <w:szCs w:val="24"/>
          <w:lang w:val="es-VE"/>
        </w:rPr>
        <w:t>“el proceso de juicio reflexivo y razonado que implica interpretación, análisis, evaluación, inferencia y explicación”</w:t>
      </w:r>
      <w:r w:rsidRPr="00C6016D">
        <w:rPr>
          <w:rFonts w:ascii="Times New Roman" w:hAnsi="Times New Roman"/>
          <w:bCs/>
          <w:sz w:val="24"/>
          <w:szCs w:val="24"/>
          <w:lang w:val="es-VE"/>
        </w:rPr>
        <w:t>; su modelo Delphi identifica seis habilidades centrales: interpretación, análisis, evaluación, inferencia, explicación y autorregulación.</w:t>
      </w:r>
    </w:p>
    <w:p w14:paraId="0041483E"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Ennis (2015), propone una definición más operativa: </w:t>
      </w:r>
      <w:r w:rsidRPr="00C6016D">
        <w:rPr>
          <w:rFonts w:ascii="Times New Roman" w:hAnsi="Times New Roman"/>
          <w:bCs/>
          <w:iCs/>
          <w:sz w:val="24"/>
          <w:szCs w:val="24"/>
          <w:lang w:val="es-VE"/>
        </w:rPr>
        <w:t>“pensamiento reflexivo y razonable enfocado en decidir qué creer o qué hacer”</w:t>
      </w:r>
      <w:r w:rsidRPr="00C6016D">
        <w:rPr>
          <w:rFonts w:ascii="Times New Roman" w:hAnsi="Times New Roman"/>
          <w:bCs/>
          <w:sz w:val="24"/>
          <w:szCs w:val="24"/>
          <w:lang w:val="es-VE"/>
        </w:rPr>
        <w:t>, donde enfatiza que el pensamiento crítico debe ser enseñado de forma transversal y situada, promoviendo el cuestionamiento constante y la argumentación lógica.</w:t>
      </w:r>
    </w:p>
    <w:p w14:paraId="637D2F97"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Estas tres perspectivas, aunque distintas en enfoque, convergen en la idea de que el pensamiento crítico es una habilidad deliberada, evaluativa y contextual, que requiere tanto disposiciones intelectuales como competencias cognitivas. Paul y Elder (2006) destacan la mejora continua del pensamiento; Facione (2011), la estructura del juicio reflexivo; y Ennis (2015), la toma de decisiones fundamentadas. Juntas, ofrecen una base sólida para comprender cómo esta competencia puede ser cultivada en entornos universitarios mediados por tecnología.</w:t>
      </w:r>
    </w:p>
    <w:p w14:paraId="54978F1E" w14:textId="77777777" w:rsidR="00C6016D" w:rsidRPr="00C6016D" w:rsidRDefault="00C6016D" w:rsidP="00C6016D">
      <w:pPr>
        <w:spacing w:after="0" w:line="360" w:lineRule="auto"/>
        <w:jc w:val="both"/>
        <w:rPr>
          <w:rFonts w:ascii="Times New Roman" w:hAnsi="Times New Roman"/>
          <w:b/>
          <w:bCs/>
          <w:sz w:val="24"/>
          <w:szCs w:val="24"/>
          <w:lang w:val="es-MX"/>
        </w:rPr>
      </w:pPr>
      <w:r w:rsidRPr="00C6016D">
        <w:rPr>
          <w:rFonts w:ascii="Times New Roman" w:hAnsi="Times New Roman"/>
          <w:b/>
          <w:bCs/>
          <w:sz w:val="24"/>
          <w:szCs w:val="24"/>
          <w:lang w:val="es-MX"/>
        </w:rPr>
        <w:t>Pensamiento Crítico en Educación Superior</w:t>
      </w:r>
    </w:p>
    <w:p w14:paraId="555A6344"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El pensamiento crítico se manifiesta a través de habilidades fundamentales como el análisis de información, la evaluación de argumentos, la inferencia lógica, la capacidad para construir y defender posturas mediante la argumentación, y la autorregulación del propio proceso cognitivo. Estas competencias permiten al estudiante universitario enfrentarse con criterio y profundidad a los retos intelectuales que plantea la educación superior. </w:t>
      </w:r>
    </w:p>
    <w:p w14:paraId="079EFABA"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Vendrell &amp; Rodríguez (2020) sostienen que el pensamiento crítico debe entenderse como una competencia multidisciplinaria que integra habilidades, disposiciones y conocimientos, y que debe ser fomentado de manera sistemática en el ámbito universitario. Argumentan que, en un contexto de sobreinformación y cambio constante, el pensamiento crítico permite a los estudiantes filtrar datos relevantes, construir opiniones propias y tomar decisiones fundamentadas, lo que lo convierte en una herramienta esencial para la formación de ciudadanos responsables y profesionales competentes.</w:t>
      </w:r>
    </w:p>
    <w:p w14:paraId="79056EEF"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En este entorno, el pensamiento crítico facilita una comprensión más rigurosa del conocimiento, incentivando la autonomía intelectual, el juicio ético y la toma de decisiones fundamentadas; por ello, cultivar estas habilidades en la formación universitaria es vital para preparar profesionales capaces de resolver problemas complejos, comunicarse con claridad y aportar soluciones desde una perspectiva reflexiva y responsable.</w:t>
      </w:r>
    </w:p>
    <w:p w14:paraId="607DBDF5" w14:textId="77777777" w:rsidR="00C6016D" w:rsidRPr="00C6016D" w:rsidRDefault="00C6016D" w:rsidP="00C6016D">
      <w:pPr>
        <w:spacing w:after="0" w:line="360" w:lineRule="auto"/>
        <w:jc w:val="both"/>
        <w:rPr>
          <w:rFonts w:ascii="Times New Roman" w:hAnsi="Times New Roman"/>
          <w:b/>
          <w:bCs/>
          <w:iCs/>
          <w:sz w:val="24"/>
          <w:szCs w:val="24"/>
          <w:lang w:val="es-VE"/>
        </w:rPr>
      </w:pPr>
      <w:r w:rsidRPr="00C6016D">
        <w:rPr>
          <w:rFonts w:ascii="Times New Roman" w:hAnsi="Times New Roman"/>
          <w:b/>
          <w:bCs/>
          <w:iCs/>
          <w:sz w:val="24"/>
          <w:szCs w:val="24"/>
          <w:lang w:val="es-VE"/>
        </w:rPr>
        <w:t>Habilidades que componen el pensamiento crítico: análisis, evaluación, inferencia, argumentación, autorregulación</w:t>
      </w:r>
    </w:p>
    <w:p w14:paraId="52ED5903"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Facione (2011), a través del Proyecto Delphi, identifica seis habilidades esenciales que conforman el pensamiento crítico: análisis, evaluación, inferencia, explicación, autorregulación e interpretación; estas capacidades permiten al individuo examinar información con profundidad, extraer conclusiones razonadas, justificar sus ideas y corregir sus propios procesos cognitivos. En el contexto de la educación superior, desarrollar estas competencias mejora la calidad del aprendizaje, preparando al estudiante para tomar decisiones fundamentadas, comunicar con rigor y enfrentar desafíos intelectuales de manera ética y reflexiva.</w:t>
      </w:r>
    </w:p>
    <w:p w14:paraId="767CAF57"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
          <w:bCs/>
          <w:sz w:val="24"/>
          <w:szCs w:val="24"/>
          <w:lang w:val="es-VE"/>
        </w:rPr>
        <w:t>Importancia del pensamiento crítico en la educación superior</w:t>
      </w:r>
    </w:p>
    <w:p w14:paraId="285F81FC"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El pensamiento crítico constituye una competencia esencial en la formación universitaria, ya que permite a los estudiantes enfrentar con criterio los desafíos académicos, sociales y profesionales del siglo XXI. Su desarrollo favorece la toma de decisiones fundamentadas, la resolución de problemas complejos y la construcción de juicios éticos en contextos diversos. En este sentido, las instituciones de educación superior han comenzado a implementar estrategias para fomentar esta habilidad, reconociendo que no basta con transmitir contenidos, sino que es necesario formar mentes capaces de cuestionar, analizar y argumentar con profundidad.</w:t>
      </w:r>
    </w:p>
    <w:p w14:paraId="730A713E"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Para evaluar el pensamiento crítico, se han diseñado diversos instrumentos que permiten medir sus componentes cognitivos y disposicionales; entre ellos destacan las escalas de actitud, las pruebas estandarizadas como el </w:t>
      </w:r>
      <w:r w:rsidRPr="00C6016D">
        <w:rPr>
          <w:rFonts w:ascii="Times New Roman" w:hAnsi="Times New Roman"/>
          <w:bCs/>
          <w:i/>
          <w:iCs/>
          <w:sz w:val="24"/>
          <w:szCs w:val="24"/>
          <w:lang w:val="es-VE"/>
        </w:rPr>
        <w:t xml:space="preserve">Watson-Glaser </w:t>
      </w:r>
      <w:proofErr w:type="spellStart"/>
      <w:r w:rsidRPr="00C6016D">
        <w:rPr>
          <w:rFonts w:ascii="Times New Roman" w:hAnsi="Times New Roman"/>
          <w:bCs/>
          <w:i/>
          <w:iCs/>
          <w:sz w:val="24"/>
          <w:szCs w:val="24"/>
          <w:lang w:val="es-VE"/>
        </w:rPr>
        <w:t>Critical</w:t>
      </w:r>
      <w:proofErr w:type="spellEnd"/>
      <w:r w:rsidRPr="00C6016D">
        <w:rPr>
          <w:rFonts w:ascii="Times New Roman" w:hAnsi="Times New Roman"/>
          <w:bCs/>
          <w:i/>
          <w:iCs/>
          <w:sz w:val="24"/>
          <w:szCs w:val="24"/>
          <w:lang w:val="es-VE"/>
        </w:rPr>
        <w:t xml:space="preserve"> </w:t>
      </w:r>
      <w:proofErr w:type="spellStart"/>
      <w:r w:rsidRPr="00C6016D">
        <w:rPr>
          <w:rFonts w:ascii="Times New Roman" w:hAnsi="Times New Roman"/>
          <w:bCs/>
          <w:i/>
          <w:iCs/>
          <w:sz w:val="24"/>
          <w:szCs w:val="24"/>
          <w:lang w:val="es-VE"/>
        </w:rPr>
        <w:t>Thinking</w:t>
      </w:r>
      <w:proofErr w:type="spellEnd"/>
      <w:r w:rsidRPr="00C6016D">
        <w:rPr>
          <w:rFonts w:ascii="Times New Roman" w:hAnsi="Times New Roman"/>
          <w:bCs/>
          <w:i/>
          <w:iCs/>
          <w:sz w:val="24"/>
          <w:szCs w:val="24"/>
          <w:lang w:val="es-VE"/>
        </w:rPr>
        <w:t xml:space="preserve"> </w:t>
      </w:r>
      <w:proofErr w:type="spellStart"/>
      <w:r w:rsidRPr="00C6016D">
        <w:rPr>
          <w:rFonts w:ascii="Times New Roman" w:hAnsi="Times New Roman"/>
          <w:bCs/>
          <w:i/>
          <w:iCs/>
          <w:sz w:val="24"/>
          <w:szCs w:val="24"/>
          <w:lang w:val="es-VE"/>
        </w:rPr>
        <w:t>Appraisal</w:t>
      </w:r>
      <w:proofErr w:type="spellEnd"/>
      <w:r w:rsidRPr="00C6016D">
        <w:rPr>
          <w:rFonts w:ascii="Times New Roman" w:hAnsi="Times New Roman"/>
          <w:bCs/>
          <w:sz w:val="24"/>
          <w:szCs w:val="24"/>
          <w:lang w:val="es-VE"/>
        </w:rPr>
        <w:t xml:space="preserve"> (WGCTA) y el </w:t>
      </w:r>
      <w:r w:rsidRPr="00C6016D">
        <w:rPr>
          <w:rFonts w:ascii="Times New Roman" w:hAnsi="Times New Roman"/>
          <w:bCs/>
          <w:i/>
          <w:iCs/>
          <w:sz w:val="24"/>
          <w:szCs w:val="24"/>
          <w:lang w:val="es-VE"/>
        </w:rPr>
        <w:t xml:space="preserve">California </w:t>
      </w:r>
      <w:proofErr w:type="spellStart"/>
      <w:r w:rsidRPr="00C6016D">
        <w:rPr>
          <w:rFonts w:ascii="Times New Roman" w:hAnsi="Times New Roman"/>
          <w:bCs/>
          <w:i/>
          <w:iCs/>
          <w:sz w:val="24"/>
          <w:szCs w:val="24"/>
          <w:lang w:val="es-VE"/>
        </w:rPr>
        <w:t>Critical</w:t>
      </w:r>
      <w:proofErr w:type="spellEnd"/>
      <w:r w:rsidRPr="00C6016D">
        <w:rPr>
          <w:rFonts w:ascii="Times New Roman" w:hAnsi="Times New Roman"/>
          <w:bCs/>
          <w:i/>
          <w:iCs/>
          <w:sz w:val="24"/>
          <w:szCs w:val="24"/>
          <w:lang w:val="es-VE"/>
        </w:rPr>
        <w:t xml:space="preserve"> </w:t>
      </w:r>
      <w:proofErr w:type="spellStart"/>
      <w:r w:rsidRPr="00C6016D">
        <w:rPr>
          <w:rFonts w:ascii="Times New Roman" w:hAnsi="Times New Roman"/>
          <w:bCs/>
          <w:i/>
          <w:iCs/>
          <w:sz w:val="24"/>
          <w:szCs w:val="24"/>
          <w:lang w:val="es-VE"/>
        </w:rPr>
        <w:t>Thinking</w:t>
      </w:r>
      <w:proofErr w:type="spellEnd"/>
      <w:r w:rsidRPr="00C6016D">
        <w:rPr>
          <w:rFonts w:ascii="Times New Roman" w:hAnsi="Times New Roman"/>
          <w:bCs/>
          <w:i/>
          <w:iCs/>
          <w:sz w:val="24"/>
          <w:szCs w:val="24"/>
          <w:lang w:val="es-VE"/>
        </w:rPr>
        <w:t xml:space="preserve"> </w:t>
      </w:r>
      <w:proofErr w:type="spellStart"/>
      <w:r w:rsidRPr="00C6016D">
        <w:rPr>
          <w:rFonts w:ascii="Times New Roman" w:hAnsi="Times New Roman"/>
          <w:bCs/>
          <w:i/>
          <w:iCs/>
          <w:sz w:val="24"/>
          <w:szCs w:val="24"/>
          <w:lang w:val="es-VE"/>
        </w:rPr>
        <w:t>Skills</w:t>
      </w:r>
      <w:proofErr w:type="spellEnd"/>
      <w:r w:rsidRPr="00C6016D">
        <w:rPr>
          <w:rFonts w:ascii="Times New Roman" w:hAnsi="Times New Roman"/>
          <w:bCs/>
          <w:i/>
          <w:iCs/>
          <w:sz w:val="24"/>
          <w:szCs w:val="24"/>
          <w:lang w:val="es-VE"/>
        </w:rPr>
        <w:t xml:space="preserve"> Test</w:t>
      </w:r>
      <w:r w:rsidRPr="00C6016D">
        <w:rPr>
          <w:rFonts w:ascii="Times New Roman" w:hAnsi="Times New Roman"/>
          <w:bCs/>
          <w:sz w:val="24"/>
          <w:szCs w:val="24"/>
          <w:lang w:val="es-VE"/>
        </w:rPr>
        <w:t xml:space="preserve"> (CCTST), así como las autoevaluaciones que exploran la percepción que los estudiantes tienen sobre sus propias habilidades críticas; estos instrumentos ofrecen datos valiosos para diagnosticar el nivel de pensamiento crítico y orientar intervenciones pedagógicas efectivas.</w:t>
      </w:r>
    </w:p>
    <w:p w14:paraId="72A74969"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Esta perspectiva es respaldada por Ossa et al. (2017), quienes destacan que, aunque existe diversidad metodológica, es urgente avanzar hacia un modelo integrador que contemple habilidades cognitivas, metacognitivas y disposicionales. Los autores destacan que el pensamiento crítico debe ser evaluado desde múltiples dimensiones para captar su complejidad y valor formativo en la educación superior.</w:t>
      </w:r>
    </w:p>
    <w:p w14:paraId="16B844F2" w14:textId="77777777" w:rsidR="00C6016D" w:rsidRPr="00C6016D" w:rsidRDefault="00C6016D" w:rsidP="00C6016D">
      <w:pPr>
        <w:spacing w:after="0" w:line="360" w:lineRule="auto"/>
        <w:jc w:val="both"/>
        <w:rPr>
          <w:rFonts w:ascii="Times New Roman" w:hAnsi="Times New Roman"/>
          <w:b/>
          <w:bCs/>
          <w:sz w:val="24"/>
          <w:szCs w:val="24"/>
          <w:lang w:val="es-MX"/>
        </w:rPr>
      </w:pPr>
      <w:r w:rsidRPr="00C6016D">
        <w:rPr>
          <w:rFonts w:ascii="Times New Roman" w:hAnsi="Times New Roman"/>
          <w:b/>
          <w:bCs/>
          <w:sz w:val="24"/>
          <w:szCs w:val="24"/>
          <w:lang w:val="es-MX"/>
        </w:rPr>
        <w:t>Metodología</w:t>
      </w:r>
    </w:p>
    <w:p w14:paraId="3639BEDF"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La presente investigación se enmarcó dentro de un enfoque cuantitativo, lo que significa que se busca recoger, analizar y presentar datos numéricos para identificar patrones, relaciones o tendencias. Esta perspectiva permite medir variables específicas de manera objetiva, utilizando instrumentos estandarizados y técnicas estadísticas que aseguran resultados confiables y generalizables dentro del contexto estudiado, es decir es cuantitativa no experimental, de tipo correlacional.</w:t>
      </w:r>
    </w:p>
    <w:p w14:paraId="605C4B60"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Se buscó establecer si existe una relación estadísticamente significativa entre el uso de inteligencia generativa (como </w:t>
      </w:r>
      <w:proofErr w:type="spellStart"/>
      <w:r w:rsidRPr="00C6016D">
        <w:rPr>
          <w:rFonts w:ascii="Times New Roman" w:hAnsi="Times New Roman"/>
          <w:bCs/>
          <w:sz w:val="24"/>
          <w:szCs w:val="24"/>
          <w:lang w:val="es-VE"/>
        </w:rPr>
        <w:t>Copilot</w:t>
      </w:r>
      <w:proofErr w:type="spellEnd"/>
      <w:r w:rsidRPr="00C6016D">
        <w:rPr>
          <w:rFonts w:ascii="Times New Roman" w:hAnsi="Times New Roman"/>
          <w:bCs/>
          <w:sz w:val="24"/>
          <w:szCs w:val="24"/>
          <w:lang w:val="es-VE"/>
        </w:rPr>
        <w:t xml:space="preserve">, </w:t>
      </w:r>
      <w:proofErr w:type="spellStart"/>
      <w:r w:rsidRPr="00C6016D">
        <w:rPr>
          <w:rFonts w:ascii="Times New Roman" w:hAnsi="Times New Roman"/>
          <w:bCs/>
          <w:sz w:val="24"/>
          <w:szCs w:val="24"/>
          <w:lang w:val="es-VE"/>
        </w:rPr>
        <w:t>ChatGPT</w:t>
      </w:r>
      <w:proofErr w:type="spellEnd"/>
      <w:r w:rsidRPr="00C6016D">
        <w:rPr>
          <w:rFonts w:ascii="Times New Roman" w:hAnsi="Times New Roman"/>
          <w:bCs/>
          <w:sz w:val="24"/>
          <w:szCs w:val="24"/>
          <w:lang w:val="es-VE"/>
        </w:rPr>
        <w:t>, etc.) y el desarrollo del pensamiento crítico en los estudiantes universitarios.</w:t>
      </w:r>
    </w:p>
    <w:p w14:paraId="4FC47DF6" w14:textId="77777777" w:rsidR="00C6016D" w:rsidRPr="00C6016D" w:rsidRDefault="00C6016D" w:rsidP="00C6016D">
      <w:pPr>
        <w:spacing w:after="0" w:line="360" w:lineRule="auto"/>
        <w:jc w:val="both"/>
        <w:rPr>
          <w:rFonts w:ascii="Times New Roman" w:hAnsi="Times New Roman"/>
          <w:bCs/>
          <w:i/>
          <w:sz w:val="24"/>
          <w:szCs w:val="24"/>
          <w:lang w:val="es-VE"/>
        </w:rPr>
      </w:pPr>
      <w:r w:rsidRPr="00C6016D">
        <w:rPr>
          <w:rFonts w:ascii="Times New Roman" w:hAnsi="Times New Roman"/>
          <w:bCs/>
          <w:i/>
          <w:sz w:val="24"/>
          <w:szCs w:val="24"/>
          <w:lang w:val="es-VE"/>
        </w:rPr>
        <w:t>Técnicas e Instrumentos de Recolección de Datos</w:t>
      </w:r>
    </w:p>
    <w:p w14:paraId="40212946"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Para llevar a cabo esta investigación de tipo cuantitativo, se utilizaron dos principales estrategias metodológicas que permitieron recopilar datos relevantes de manera precisa y estructurada:</w:t>
      </w:r>
    </w:p>
    <w:p w14:paraId="53393347" w14:textId="77777777" w:rsidR="00C6016D" w:rsidRPr="00C6016D" w:rsidRDefault="00C6016D" w:rsidP="00C6016D">
      <w:pPr>
        <w:numPr>
          <w:ilvl w:val="0"/>
          <w:numId w:val="35"/>
        </w:num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Encuesta estructurada aplicada mediante formulario digital:</w:t>
      </w:r>
    </w:p>
    <w:p w14:paraId="54710442"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Se diseñó un cuestionario con preguntas cerradas y organizadas de forma sistemática, el cual fue distribuido digitalmente (Google </w:t>
      </w:r>
      <w:proofErr w:type="spellStart"/>
      <w:r w:rsidRPr="00C6016D">
        <w:rPr>
          <w:rFonts w:ascii="Times New Roman" w:hAnsi="Times New Roman"/>
          <w:bCs/>
          <w:sz w:val="24"/>
          <w:szCs w:val="24"/>
          <w:lang w:val="es-VE"/>
        </w:rPr>
        <w:t>Forms</w:t>
      </w:r>
      <w:proofErr w:type="spellEnd"/>
      <w:r w:rsidRPr="00C6016D">
        <w:rPr>
          <w:rFonts w:ascii="Times New Roman" w:hAnsi="Times New Roman"/>
          <w:bCs/>
          <w:sz w:val="24"/>
          <w:szCs w:val="24"/>
          <w:lang w:val="es-VE"/>
        </w:rPr>
        <w:t>). Esta encuesta tuvo como propósito identificar patrones en el uso de herramientas de inteligencia generativa por parte de los estudiantes universitarios. Los ítems, en su mayoría, se presentaron en formato de escala Likert, que permite valorar cada afirmación en un rango del 1 al 5 (donde 1 significa “totalmente en desacuerdo” y 5 “totalmente de acuerdo”). Esta escala facilita la medición del nivel de acuerdo, frecuencia o percepción de los encuestados respecto a diferentes aspectos.</w:t>
      </w:r>
    </w:p>
    <w:p w14:paraId="0EBD2D2C"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Las dimensiones abordadas en la encuesta fueron:</w:t>
      </w:r>
    </w:p>
    <w:p w14:paraId="0A7AB89F" w14:textId="77777777" w:rsidR="00C6016D" w:rsidRPr="00C6016D" w:rsidRDefault="00C6016D" w:rsidP="00C6016D">
      <w:pPr>
        <w:numPr>
          <w:ilvl w:val="0"/>
          <w:numId w:val="36"/>
        </w:num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Frecuencia de uso de inteligencia generativa: cuán seguido los estudiantes utilizan herramientas como </w:t>
      </w:r>
      <w:proofErr w:type="spellStart"/>
      <w:r w:rsidRPr="00C6016D">
        <w:rPr>
          <w:rFonts w:ascii="Times New Roman" w:hAnsi="Times New Roman"/>
          <w:bCs/>
          <w:sz w:val="24"/>
          <w:szCs w:val="24"/>
          <w:lang w:val="es-VE"/>
        </w:rPr>
        <w:t>Copilot</w:t>
      </w:r>
      <w:proofErr w:type="spellEnd"/>
      <w:r w:rsidRPr="00C6016D">
        <w:rPr>
          <w:rFonts w:ascii="Times New Roman" w:hAnsi="Times New Roman"/>
          <w:bCs/>
          <w:sz w:val="24"/>
          <w:szCs w:val="24"/>
          <w:lang w:val="es-VE"/>
        </w:rPr>
        <w:t xml:space="preserve"> o </w:t>
      </w:r>
      <w:proofErr w:type="spellStart"/>
      <w:r w:rsidRPr="00C6016D">
        <w:rPr>
          <w:rFonts w:ascii="Times New Roman" w:hAnsi="Times New Roman"/>
          <w:bCs/>
          <w:sz w:val="24"/>
          <w:szCs w:val="24"/>
          <w:lang w:val="es-VE"/>
        </w:rPr>
        <w:t>ChatGPT</w:t>
      </w:r>
      <w:proofErr w:type="spellEnd"/>
      <w:r w:rsidRPr="00C6016D">
        <w:rPr>
          <w:rFonts w:ascii="Times New Roman" w:hAnsi="Times New Roman"/>
          <w:bCs/>
          <w:sz w:val="24"/>
          <w:szCs w:val="24"/>
          <w:lang w:val="es-VE"/>
        </w:rPr>
        <w:t xml:space="preserve"> en su vida académica.</w:t>
      </w:r>
    </w:p>
    <w:p w14:paraId="210951C1" w14:textId="77777777" w:rsidR="00C6016D" w:rsidRPr="00C6016D" w:rsidRDefault="00C6016D" w:rsidP="00C6016D">
      <w:pPr>
        <w:numPr>
          <w:ilvl w:val="0"/>
          <w:numId w:val="36"/>
        </w:num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Propósitos del uso: identificación del motivo principal por el cual se recurre a estas tecnologías (redacción de textos, búsqueda de información, consulta de conceptos, elaboración de ensayos, entre otros).</w:t>
      </w:r>
    </w:p>
    <w:p w14:paraId="7D92101B" w14:textId="77777777" w:rsidR="00C6016D" w:rsidRPr="00C6016D" w:rsidRDefault="00C6016D" w:rsidP="00C6016D">
      <w:pPr>
        <w:numPr>
          <w:ilvl w:val="0"/>
          <w:numId w:val="36"/>
        </w:num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Autoevaluación de pensamiento crítico: percepción que tiene el estudiante sobre sus propias habilidades para analizar información, argumentar con coherencia, identificar fuentes confiables y razonar críticamente.</w:t>
      </w:r>
    </w:p>
    <w:p w14:paraId="6780E872"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Este instrumento permitió recopilar datos numéricos sobre el comportamiento y la autopercepción de los estudiantes en relación con las herramientas tecnológicas y sus capacidades cognitivas.</w:t>
      </w:r>
    </w:p>
    <w:p w14:paraId="57625B5E" w14:textId="77777777" w:rsidR="00C6016D" w:rsidRPr="00C6016D" w:rsidRDefault="00C6016D" w:rsidP="00C6016D">
      <w:pPr>
        <w:numPr>
          <w:ilvl w:val="0"/>
          <w:numId w:val="35"/>
        </w:num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Prueba de Pensamiento Crítico Estandarizada</w:t>
      </w:r>
    </w:p>
    <w:p w14:paraId="73580BF2" w14:textId="222579A9" w:rsid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Como segundo instrumento, se aplicó una prueba objetiva y validada internacionalmente, adaptada al contexto local de Ecuador, la misma fue la </w:t>
      </w:r>
      <w:r w:rsidRPr="00C6016D">
        <w:rPr>
          <w:rFonts w:ascii="Times New Roman" w:hAnsi="Times New Roman"/>
          <w:bCs/>
          <w:i/>
          <w:iCs/>
          <w:sz w:val="24"/>
          <w:szCs w:val="24"/>
          <w:lang w:val="es-VE"/>
        </w:rPr>
        <w:t xml:space="preserve">Watson-Glaser </w:t>
      </w:r>
      <w:proofErr w:type="spellStart"/>
      <w:r w:rsidRPr="00C6016D">
        <w:rPr>
          <w:rFonts w:ascii="Times New Roman" w:hAnsi="Times New Roman"/>
          <w:bCs/>
          <w:i/>
          <w:iCs/>
          <w:sz w:val="24"/>
          <w:szCs w:val="24"/>
          <w:lang w:val="es-VE"/>
        </w:rPr>
        <w:t>Critical</w:t>
      </w:r>
      <w:proofErr w:type="spellEnd"/>
      <w:r w:rsidRPr="00C6016D">
        <w:rPr>
          <w:rFonts w:ascii="Times New Roman" w:hAnsi="Times New Roman"/>
          <w:bCs/>
          <w:i/>
          <w:iCs/>
          <w:sz w:val="24"/>
          <w:szCs w:val="24"/>
          <w:lang w:val="es-VE"/>
        </w:rPr>
        <w:t xml:space="preserve"> </w:t>
      </w:r>
      <w:proofErr w:type="spellStart"/>
      <w:r w:rsidRPr="00C6016D">
        <w:rPr>
          <w:rFonts w:ascii="Times New Roman" w:hAnsi="Times New Roman"/>
          <w:bCs/>
          <w:i/>
          <w:iCs/>
          <w:sz w:val="24"/>
          <w:szCs w:val="24"/>
          <w:lang w:val="es-VE"/>
        </w:rPr>
        <w:t>Thinking</w:t>
      </w:r>
      <w:proofErr w:type="spellEnd"/>
      <w:r w:rsidRPr="00C6016D">
        <w:rPr>
          <w:rFonts w:ascii="Times New Roman" w:hAnsi="Times New Roman"/>
          <w:bCs/>
          <w:i/>
          <w:iCs/>
          <w:sz w:val="24"/>
          <w:szCs w:val="24"/>
          <w:lang w:val="es-VE"/>
        </w:rPr>
        <w:t xml:space="preserve"> </w:t>
      </w:r>
      <w:proofErr w:type="spellStart"/>
      <w:r w:rsidRPr="00C6016D">
        <w:rPr>
          <w:rFonts w:ascii="Times New Roman" w:hAnsi="Times New Roman"/>
          <w:bCs/>
          <w:i/>
          <w:iCs/>
          <w:sz w:val="24"/>
          <w:szCs w:val="24"/>
          <w:lang w:val="es-VE"/>
        </w:rPr>
        <w:t>Appraisal</w:t>
      </w:r>
      <w:proofErr w:type="spellEnd"/>
      <w:r w:rsidRPr="00C6016D">
        <w:rPr>
          <w:rFonts w:ascii="Times New Roman" w:hAnsi="Times New Roman"/>
          <w:bCs/>
          <w:sz w:val="24"/>
          <w:szCs w:val="24"/>
          <w:lang w:val="es-VE"/>
        </w:rPr>
        <w:t>. Este tipo de prueba evalúa con precisión aspectos clave del pensamiento crítico como:</w:t>
      </w:r>
    </w:p>
    <w:p w14:paraId="12B91606" w14:textId="618E9E8C" w:rsidR="00C6016D" w:rsidRDefault="00C6016D" w:rsidP="00C6016D">
      <w:pPr>
        <w:spacing w:after="0" w:line="360" w:lineRule="auto"/>
        <w:jc w:val="both"/>
        <w:rPr>
          <w:rFonts w:ascii="Times New Roman" w:hAnsi="Times New Roman"/>
          <w:bCs/>
          <w:sz w:val="24"/>
          <w:szCs w:val="24"/>
          <w:lang w:val="es-VE"/>
        </w:rPr>
      </w:pPr>
    </w:p>
    <w:p w14:paraId="37654DCE" w14:textId="77777777" w:rsidR="00C6016D" w:rsidRPr="00C6016D" w:rsidRDefault="00C6016D" w:rsidP="00C6016D">
      <w:pPr>
        <w:spacing w:after="0" w:line="360" w:lineRule="auto"/>
        <w:jc w:val="both"/>
        <w:rPr>
          <w:rFonts w:ascii="Times New Roman" w:hAnsi="Times New Roman"/>
          <w:bCs/>
          <w:sz w:val="24"/>
          <w:szCs w:val="24"/>
          <w:lang w:val="es-VE"/>
        </w:rPr>
      </w:pPr>
    </w:p>
    <w:p w14:paraId="13CF4B36" w14:textId="77777777" w:rsidR="00C6016D" w:rsidRPr="00C6016D" w:rsidRDefault="00C6016D" w:rsidP="00C6016D">
      <w:pPr>
        <w:numPr>
          <w:ilvl w:val="0"/>
          <w:numId w:val="37"/>
        </w:numPr>
        <w:spacing w:after="0" w:line="360" w:lineRule="auto"/>
        <w:jc w:val="both"/>
        <w:rPr>
          <w:rFonts w:ascii="Times New Roman" w:hAnsi="Times New Roman"/>
          <w:bCs/>
          <w:sz w:val="24"/>
          <w:szCs w:val="24"/>
        </w:rPr>
      </w:pPr>
      <w:r w:rsidRPr="00C6016D">
        <w:rPr>
          <w:rFonts w:ascii="Times New Roman" w:hAnsi="Times New Roman"/>
          <w:bCs/>
          <w:sz w:val="24"/>
          <w:szCs w:val="24"/>
        </w:rPr>
        <w:t>Inferencias lógicas</w:t>
      </w:r>
    </w:p>
    <w:p w14:paraId="128519AE" w14:textId="77777777" w:rsidR="00C6016D" w:rsidRPr="00C6016D" w:rsidRDefault="00C6016D" w:rsidP="00C6016D">
      <w:pPr>
        <w:numPr>
          <w:ilvl w:val="0"/>
          <w:numId w:val="37"/>
        </w:numPr>
        <w:spacing w:after="0" w:line="360" w:lineRule="auto"/>
        <w:jc w:val="both"/>
        <w:rPr>
          <w:rFonts w:ascii="Times New Roman" w:hAnsi="Times New Roman"/>
          <w:bCs/>
          <w:sz w:val="24"/>
          <w:szCs w:val="24"/>
        </w:rPr>
      </w:pPr>
      <w:r w:rsidRPr="00C6016D">
        <w:rPr>
          <w:rFonts w:ascii="Times New Roman" w:hAnsi="Times New Roman"/>
          <w:bCs/>
          <w:sz w:val="24"/>
          <w:szCs w:val="24"/>
        </w:rPr>
        <w:t>Reconocimiento de supuestos</w:t>
      </w:r>
    </w:p>
    <w:p w14:paraId="1736F17E" w14:textId="77777777" w:rsidR="00C6016D" w:rsidRPr="00C6016D" w:rsidRDefault="00C6016D" w:rsidP="00C6016D">
      <w:pPr>
        <w:numPr>
          <w:ilvl w:val="0"/>
          <w:numId w:val="37"/>
        </w:numPr>
        <w:spacing w:after="0" w:line="360" w:lineRule="auto"/>
        <w:jc w:val="both"/>
        <w:rPr>
          <w:rFonts w:ascii="Times New Roman" w:hAnsi="Times New Roman"/>
          <w:bCs/>
          <w:sz w:val="24"/>
          <w:szCs w:val="24"/>
        </w:rPr>
      </w:pPr>
      <w:r w:rsidRPr="00C6016D">
        <w:rPr>
          <w:rFonts w:ascii="Times New Roman" w:hAnsi="Times New Roman"/>
          <w:bCs/>
          <w:sz w:val="24"/>
          <w:szCs w:val="24"/>
        </w:rPr>
        <w:t>Argumentación</w:t>
      </w:r>
    </w:p>
    <w:p w14:paraId="31DB3AFA" w14:textId="77777777" w:rsidR="00C6016D" w:rsidRPr="00C6016D" w:rsidRDefault="00C6016D" w:rsidP="00C6016D">
      <w:pPr>
        <w:numPr>
          <w:ilvl w:val="0"/>
          <w:numId w:val="37"/>
        </w:numPr>
        <w:spacing w:after="0" w:line="360" w:lineRule="auto"/>
        <w:jc w:val="both"/>
        <w:rPr>
          <w:rFonts w:ascii="Times New Roman" w:hAnsi="Times New Roman"/>
          <w:bCs/>
          <w:sz w:val="24"/>
          <w:szCs w:val="24"/>
        </w:rPr>
      </w:pPr>
      <w:r w:rsidRPr="00C6016D">
        <w:rPr>
          <w:rFonts w:ascii="Times New Roman" w:hAnsi="Times New Roman"/>
          <w:bCs/>
          <w:sz w:val="24"/>
          <w:szCs w:val="24"/>
        </w:rPr>
        <w:t>Deducción y evaluación de conclusiones</w:t>
      </w:r>
    </w:p>
    <w:p w14:paraId="4272583F"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La ventaja de haber utilizado una prueba estandarizada radicó en que proporciona datos confiables, comparables y alineados con estándares internacionales, lo que permite realizar análisis más sólidos sobre el nivel real de pensamiento crítico en la muestra estudiada.</w:t>
      </w:r>
    </w:p>
    <w:p w14:paraId="37B0310B"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La combinación de ambos instrumentos, encuesta </w:t>
      </w:r>
      <w:proofErr w:type="spellStart"/>
      <w:r w:rsidRPr="00C6016D">
        <w:rPr>
          <w:rFonts w:ascii="Times New Roman" w:hAnsi="Times New Roman"/>
          <w:bCs/>
          <w:sz w:val="24"/>
          <w:szCs w:val="24"/>
          <w:lang w:val="es-VE"/>
        </w:rPr>
        <w:t>autoaplicada</w:t>
      </w:r>
      <w:proofErr w:type="spellEnd"/>
      <w:r w:rsidRPr="00C6016D">
        <w:rPr>
          <w:rFonts w:ascii="Times New Roman" w:hAnsi="Times New Roman"/>
          <w:bCs/>
          <w:sz w:val="24"/>
          <w:szCs w:val="24"/>
          <w:lang w:val="es-VE"/>
        </w:rPr>
        <w:t xml:space="preserve"> y prueba estandarizada, fortalece la validez de los resultados y ofrece una perspectiva integral sobre cómo el uso de inteligencia generativa se relaciona con el desarrollo de habilidades críticas en los estudiantes universitarios.</w:t>
      </w:r>
    </w:p>
    <w:p w14:paraId="7D5649C2"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i/>
          <w:iCs/>
          <w:sz w:val="24"/>
          <w:szCs w:val="24"/>
          <w:lang w:val="es-VE"/>
        </w:rPr>
        <w:t>Población y Muestra</w:t>
      </w:r>
    </w:p>
    <w:p w14:paraId="7258A4B7"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La población objetivo de esta investigación está conformada por estudiantes universitarios que cursan estudios en instituciones de educación superior ubicadas en la provincia de Manabí, Ecuador, este grupo representa el universo desde el cual se extrae la muestra y se delimita en función del interés de estudiar el vínculo entre tecnología educativa </w:t>
      </w:r>
      <w:proofErr w:type="gramStart"/>
      <w:r w:rsidRPr="00C6016D">
        <w:rPr>
          <w:rFonts w:ascii="Times New Roman" w:hAnsi="Times New Roman"/>
          <w:bCs/>
          <w:sz w:val="24"/>
          <w:szCs w:val="24"/>
          <w:lang w:val="es-VE"/>
        </w:rPr>
        <w:t>e</w:t>
      </w:r>
      <w:proofErr w:type="gramEnd"/>
      <w:r w:rsidRPr="00C6016D">
        <w:rPr>
          <w:rFonts w:ascii="Times New Roman" w:hAnsi="Times New Roman"/>
          <w:bCs/>
          <w:sz w:val="24"/>
          <w:szCs w:val="24"/>
          <w:lang w:val="es-VE"/>
        </w:rPr>
        <w:t xml:space="preserve"> habilidades cognitivas dentro un contexto local y representativo.</w:t>
      </w:r>
    </w:p>
    <w:p w14:paraId="4DB3E974"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La muestra seleccionada corresponde a una fracción representativa de la población, conformada por tres grupos de 25 estudiantes universitarios cada uno de tres carreras diferentes; esta cantidad permitió trabajar con volúmenes manejables de información y realizar análisis estadísticos significativos dentro del enfoque cuantitativo planteado.</w:t>
      </w:r>
    </w:p>
    <w:p w14:paraId="0A0FF36A"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La elección de los participantes se realizó de forma intencional, lo que significa que no fue aleatoria, sino que se seleccionaron deliberadamente estudiantes que pertenecen a carreras donde destacan habilidades como la lectura crítica, redacción argumentativa y análisis de información compleja. Entre las carreras consideradas están: Educación, Comunicación Social y Derecho; estas disciplinas fueron elegidas porque implican un perfil académico que demanda el desarrollo permanente de competencias intelectuales ligadas al pensamiento crítico, justo la variable que se desea examinar.</w:t>
      </w:r>
    </w:p>
    <w:p w14:paraId="20F9EF0B" w14:textId="4466B5B9" w:rsid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Además, se tomó en cuenta que los estudiantes incluidos en la muestra tuvieran experiencia o familiaridad previa con herramientas de inteligencia generativa (como </w:t>
      </w:r>
      <w:proofErr w:type="spellStart"/>
      <w:r w:rsidRPr="00C6016D">
        <w:rPr>
          <w:rFonts w:ascii="Times New Roman" w:hAnsi="Times New Roman"/>
          <w:bCs/>
          <w:sz w:val="24"/>
          <w:szCs w:val="24"/>
          <w:lang w:val="es-VE"/>
        </w:rPr>
        <w:t>ChatGPT</w:t>
      </w:r>
      <w:proofErr w:type="spellEnd"/>
      <w:r w:rsidRPr="00C6016D">
        <w:rPr>
          <w:rFonts w:ascii="Times New Roman" w:hAnsi="Times New Roman"/>
          <w:bCs/>
          <w:sz w:val="24"/>
          <w:szCs w:val="24"/>
          <w:lang w:val="es-VE"/>
        </w:rPr>
        <w:t xml:space="preserve">, </w:t>
      </w:r>
      <w:proofErr w:type="spellStart"/>
      <w:r w:rsidRPr="00C6016D">
        <w:rPr>
          <w:rFonts w:ascii="Times New Roman" w:hAnsi="Times New Roman"/>
          <w:bCs/>
          <w:sz w:val="24"/>
          <w:szCs w:val="24"/>
          <w:lang w:val="es-VE"/>
        </w:rPr>
        <w:t>Copilot</w:t>
      </w:r>
      <w:proofErr w:type="spellEnd"/>
      <w:r w:rsidRPr="00C6016D">
        <w:rPr>
          <w:rFonts w:ascii="Times New Roman" w:hAnsi="Times New Roman"/>
          <w:bCs/>
          <w:sz w:val="24"/>
          <w:szCs w:val="24"/>
          <w:lang w:val="es-VE"/>
        </w:rPr>
        <w:t>, entre otras), asegurando así la pertinencia de los datos que se analizarán.</w:t>
      </w:r>
    </w:p>
    <w:p w14:paraId="33564489" w14:textId="77777777" w:rsidR="00C6016D" w:rsidRPr="00C6016D" w:rsidRDefault="00C6016D" w:rsidP="00C6016D">
      <w:pPr>
        <w:spacing w:after="0" w:line="360" w:lineRule="auto"/>
        <w:jc w:val="both"/>
        <w:rPr>
          <w:rFonts w:ascii="Times New Roman" w:hAnsi="Times New Roman"/>
          <w:bCs/>
          <w:sz w:val="24"/>
          <w:szCs w:val="24"/>
          <w:lang w:val="es-VE"/>
        </w:rPr>
      </w:pPr>
    </w:p>
    <w:p w14:paraId="2F54420D" w14:textId="77777777" w:rsidR="00C6016D" w:rsidRPr="00C6016D" w:rsidRDefault="00C6016D" w:rsidP="00C6016D">
      <w:pPr>
        <w:spacing w:after="0" w:line="360" w:lineRule="auto"/>
        <w:jc w:val="both"/>
        <w:rPr>
          <w:rFonts w:ascii="Times New Roman" w:hAnsi="Times New Roman"/>
          <w:bCs/>
          <w:i/>
          <w:sz w:val="24"/>
          <w:szCs w:val="24"/>
          <w:lang w:val="es-VE"/>
        </w:rPr>
      </w:pPr>
      <w:r w:rsidRPr="00C6016D">
        <w:rPr>
          <w:rFonts w:ascii="Times New Roman" w:hAnsi="Times New Roman"/>
          <w:bCs/>
          <w:i/>
          <w:sz w:val="24"/>
          <w:szCs w:val="24"/>
          <w:lang w:val="es-VE"/>
        </w:rPr>
        <w:t>Técnica de análisis de datos</w:t>
      </w:r>
    </w:p>
    <w:p w14:paraId="4E76CA62"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Para procesar y comprender los resultados obtenidos en esta investigación, se utilizaron técnicas estadísticas que permitieron analizar de manera rigurosa la relación entre el uso de inteligencia generativa y el desarrollo del pensamiento crítico en estudiantes universitarios. A continuación, se describen las herramientas utilizadas:</w:t>
      </w:r>
    </w:p>
    <w:p w14:paraId="3E3EED64" w14:textId="77777777" w:rsidR="00C6016D" w:rsidRPr="00C6016D" w:rsidRDefault="00C6016D" w:rsidP="00C6016D">
      <w:pPr>
        <w:numPr>
          <w:ilvl w:val="0"/>
          <w:numId w:val="38"/>
        </w:num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Estadística Descriptiva</w:t>
      </w:r>
    </w:p>
    <w:p w14:paraId="0F25DC5D"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VE"/>
        </w:rPr>
        <w:t xml:space="preserve">Este tipo de análisis permitió organizar y resumir los datos obtenidos en la investigación, facilitando su comprensión general. </w:t>
      </w:r>
      <w:r w:rsidRPr="00C6016D">
        <w:rPr>
          <w:rFonts w:ascii="Times New Roman" w:hAnsi="Times New Roman"/>
          <w:bCs/>
          <w:sz w:val="24"/>
          <w:szCs w:val="24"/>
          <w:lang w:val="es-MX"/>
        </w:rPr>
        <w:t>Se aplicaron los siguientes indicadores:</w:t>
      </w:r>
    </w:p>
    <w:p w14:paraId="3A8396C1" w14:textId="77777777" w:rsidR="00C6016D" w:rsidRPr="00C6016D" w:rsidRDefault="00C6016D" w:rsidP="00C6016D">
      <w:pPr>
        <w:numPr>
          <w:ilvl w:val="0"/>
          <w:numId w:val="39"/>
        </w:num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Media (promedio): Mide el valor central de las respuestas de los estudiantes en cada variable. </w:t>
      </w:r>
    </w:p>
    <w:p w14:paraId="653B4214" w14:textId="77777777" w:rsidR="00C6016D" w:rsidRPr="00C6016D" w:rsidRDefault="00C6016D" w:rsidP="00C6016D">
      <w:pPr>
        <w:numPr>
          <w:ilvl w:val="0"/>
          <w:numId w:val="39"/>
        </w:num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Desviación estándar: Indica qué tan dispersas están las respuestas respecto a la media. </w:t>
      </w:r>
    </w:p>
    <w:p w14:paraId="2D62DC8C" w14:textId="77777777" w:rsidR="00C6016D" w:rsidRPr="00C6016D" w:rsidRDefault="00C6016D" w:rsidP="00C6016D">
      <w:pPr>
        <w:numPr>
          <w:ilvl w:val="0"/>
          <w:numId w:val="39"/>
        </w:num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Frecuencias: Se utiliza para conocer cuántos estudiantes seleccionaron cada opción en los ítems de la encuesta, lo que ayuda a visualizar tendencias y patrones dentro de la muestra.</w:t>
      </w:r>
    </w:p>
    <w:p w14:paraId="44B3B42F" w14:textId="77777777" w:rsidR="00C6016D" w:rsidRPr="00C6016D" w:rsidRDefault="00C6016D" w:rsidP="00C6016D">
      <w:pPr>
        <w:numPr>
          <w:ilvl w:val="0"/>
          <w:numId w:val="39"/>
        </w:num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Correlación de Pearson: es una técnica estadística utilizada para examinar el grado de relación entre dos variables numéricas. En este estudio, se aplica para observar si existe una conexión significativa entre la frecuencia y tipo de uso de herramientas de inteligencia generativa, y el nivel de pensamiento crítico reportado o medido en los estudiantes. Este análisis no determina si una variable causa la otra, pero sí indica si se mueven juntas (positivamente o negativamente).</w:t>
      </w:r>
    </w:p>
    <w:p w14:paraId="26ADC6EE" w14:textId="77777777" w:rsidR="00C6016D" w:rsidRDefault="00C6016D" w:rsidP="00C6016D">
      <w:pPr>
        <w:spacing w:after="0" w:line="360" w:lineRule="auto"/>
        <w:jc w:val="both"/>
        <w:rPr>
          <w:rFonts w:ascii="Times New Roman" w:hAnsi="Times New Roman"/>
          <w:b/>
          <w:bCs/>
          <w:sz w:val="24"/>
          <w:szCs w:val="24"/>
          <w:lang w:val="es-VE"/>
        </w:rPr>
      </w:pPr>
    </w:p>
    <w:p w14:paraId="3D145A4C" w14:textId="0F901CCE"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
          <w:bCs/>
          <w:sz w:val="24"/>
          <w:szCs w:val="24"/>
          <w:lang w:val="es-VE"/>
        </w:rPr>
        <w:t>Resultados y Discusión</w:t>
      </w:r>
    </w:p>
    <w:p w14:paraId="50D8ECAD" w14:textId="73B565DC" w:rsid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Una vez recolectados y analizados los datos, se obtuvieron los siguientes hallazgos que permiten entender la relación entre el uso de inteligencia generativa y el pensamiento crítico en los estudiantes universitarios. En relación a la frecuencia de uso de la IA generativa, los resultados se muestran en la Figura 1:</w:t>
      </w:r>
    </w:p>
    <w:p w14:paraId="11119B1E" w14:textId="6B787A7A" w:rsidR="00C6016D" w:rsidRDefault="00C6016D" w:rsidP="00C6016D">
      <w:pPr>
        <w:spacing w:after="0" w:line="360" w:lineRule="auto"/>
        <w:jc w:val="both"/>
        <w:rPr>
          <w:rFonts w:ascii="Times New Roman" w:hAnsi="Times New Roman"/>
          <w:bCs/>
          <w:sz w:val="24"/>
          <w:szCs w:val="24"/>
          <w:lang w:val="es-VE"/>
        </w:rPr>
      </w:pPr>
    </w:p>
    <w:p w14:paraId="07FF9D73" w14:textId="7447F374" w:rsidR="00C6016D" w:rsidRDefault="00C6016D" w:rsidP="00C6016D">
      <w:pPr>
        <w:spacing w:after="0" w:line="360" w:lineRule="auto"/>
        <w:jc w:val="both"/>
        <w:rPr>
          <w:rFonts w:ascii="Times New Roman" w:hAnsi="Times New Roman"/>
          <w:bCs/>
          <w:sz w:val="24"/>
          <w:szCs w:val="24"/>
          <w:lang w:val="es-VE"/>
        </w:rPr>
      </w:pPr>
    </w:p>
    <w:p w14:paraId="0753AF91" w14:textId="3082FC0F" w:rsidR="00C6016D" w:rsidRDefault="00C6016D" w:rsidP="00C6016D">
      <w:pPr>
        <w:spacing w:after="0" w:line="360" w:lineRule="auto"/>
        <w:jc w:val="both"/>
        <w:rPr>
          <w:rFonts w:ascii="Times New Roman" w:hAnsi="Times New Roman"/>
          <w:bCs/>
          <w:sz w:val="24"/>
          <w:szCs w:val="24"/>
          <w:lang w:val="es-VE"/>
        </w:rPr>
      </w:pPr>
    </w:p>
    <w:p w14:paraId="2C0C8FA3" w14:textId="78EF1EED" w:rsidR="00C6016D" w:rsidRDefault="00C6016D" w:rsidP="00C6016D">
      <w:pPr>
        <w:spacing w:after="0" w:line="360" w:lineRule="auto"/>
        <w:jc w:val="both"/>
        <w:rPr>
          <w:rFonts w:ascii="Times New Roman" w:hAnsi="Times New Roman"/>
          <w:bCs/>
          <w:sz w:val="24"/>
          <w:szCs w:val="24"/>
          <w:lang w:val="es-VE"/>
        </w:rPr>
      </w:pPr>
    </w:p>
    <w:p w14:paraId="08826B94" w14:textId="0E65BB73" w:rsidR="00C6016D" w:rsidRDefault="00C6016D" w:rsidP="00C6016D">
      <w:pPr>
        <w:spacing w:after="0" w:line="360" w:lineRule="auto"/>
        <w:jc w:val="both"/>
        <w:rPr>
          <w:rFonts w:ascii="Times New Roman" w:hAnsi="Times New Roman"/>
          <w:bCs/>
          <w:sz w:val="24"/>
          <w:szCs w:val="24"/>
          <w:lang w:val="es-VE"/>
        </w:rPr>
      </w:pPr>
    </w:p>
    <w:p w14:paraId="6FD4E478" w14:textId="77777777" w:rsidR="00C6016D" w:rsidRPr="00C6016D" w:rsidRDefault="00C6016D" w:rsidP="00C6016D">
      <w:pPr>
        <w:spacing w:after="0" w:line="360" w:lineRule="auto"/>
        <w:jc w:val="both"/>
        <w:rPr>
          <w:rFonts w:ascii="Times New Roman" w:hAnsi="Times New Roman"/>
          <w:bCs/>
          <w:sz w:val="24"/>
          <w:szCs w:val="24"/>
          <w:lang w:val="es-VE"/>
        </w:rPr>
      </w:pPr>
    </w:p>
    <w:p w14:paraId="2CFC853C"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
          <w:bCs/>
          <w:sz w:val="24"/>
          <w:szCs w:val="24"/>
          <w:lang w:val="es-VE"/>
        </w:rPr>
        <w:t>Figura 1</w:t>
      </w:r>
    </w:p>
    <w:p w14:paraId="6E902736"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Cs/>
          <w:i/>
          <w:sz w:val="24"/>
          <w:szCs w:val="24"/>
          <w:lang w:val="es-VE"/>
        </w:rPr>
        <w:t>Frecuencia de uso de la IA generativa</w:t>
      </w:r>
      <w:r w:rsidRPr="00C6016D">
        <w:rPr>
          <w:rFonts w:ascii="Times New Roman" w:hAnsi="Times New Roman"/>
          <w:b/>
          <w:bCs/>
          <w:sz w:val="24"/>
          <w:szCs w:val="24"/>
          <w:lang w:val="es-VE"/>
        </w:rPr>
        <w:t xml:space="preserve"> </w:t>
      </w:r>
    </w:p>
    <w:p w14:paraId="2B3D2958" w14:textId="77777777" w:rsidR="00C6016D" w:rsidRPr="00C6016D" w:rsidRDefault="00C6016D" w:rsidP="00C6016D">
      <w:pPr>
        <w:spacing w:after="0" w:line="360" w:lineRule="auto"/>
        <w:jc w:val="center"/>
        <w:rPr>
          <w:rFonts w:ascii="Times New Roman" w:hAnsi="Times New Roman"/>
          <w:bCs/>
          <w:sz w:val="24"/>
          <w:szCs w:val="24"/>
          <w:lang w:val="es-VE"/>
        </w:rPr>
      </w:pPr>
      <w:r w:rsidRPr="00C6016D">
        <w:rPr>
          <w:rFonts w:ascii="Times New Roman" w:hAnsi="Times New Roman"/>
          <w:bCs/>
          <w:sz w:val="24"/>
          <w:szCs w:val="24"/>
        </w:rPr>
        <w:drawing>
          <wp:inline distT="0" distB="0" distL="0" distR="0" wp14:anchorId="0905B96B" wp14:editId="3BA70368">
            <wp:extent cx="5937250" cy="2190750"/>
            <wp:effectExtent l="0" t="0" r="635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67F001"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i/>
          <w:sz w:val="24"/>
          <w:szCs w:val="24"/>
          <w:lang w:val="es-MX"/>
        </w:rPr>
        <w:t xml:space="preserve">Nota: </w:t>
      </w:r>
      <w:r w:rsidRPr="00C6016D">
        <w:rPr>
          <w:rFonts w:ascii="Times New Roman" w:hAnsi="Times New Roman"/>
          <w:bCs/>
          <w:sz w:val="24"/>
          <w:szCs w:val="24"/>
          <w:lang w:val="es-MX"/>
        </w:rPr>
        <w:t xml:space="preserve">Elaborado con los datos extraídos del cuestionario aplicado a los estudiantes universitarios. </w:t>
      </w:r>
    </w:p>
    <w:p w14:paraId="026F4ACE"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Los resultados mostrados en la Figura 1, indican que la mayoría de los estudiantes utilizan herramientas de inteligencia generativa de manera recurrente en sus estudios, ya que el 37.33% lo hace frecuentemente y el 21.33% siempre. Esto señala que estas tecnologías se han arraigado de manera significativa en los hábitos académicos, lo que podría responder a la necesidad de acceder a contenidos útiles con rapidez y eficiencia.</w:t>
      </w:r>
    </w:p>
    <w:p w14:paraId="02957EA8"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Por otro lado, solo un 12% entre “nunca” y “rara vez” muestra resistencia o poco contacto con estas herramientas, lo cual podría deberse a falta de conocimiento, desconfianza tecnológica o estilos de estudio más tradicionales. Este contraste sugiere una diversidad de actitudes hacia la inteligencia generativa, lo cual es relevante para entender cómo se distribuyen los niveles de alfabetización digital entre los estudiantes universitarios.</w:t>
      </w:r>
    </w:p>
    <w:p w14:paraId="3C28A0E4" w14:textId="408308B8" w:rsid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La Figura 2 muestra la principal razón por los que los estudiantes emplean la IA generativa:</w:t>
      </w:r>
    </w:p>
    <w:p w14:paraId="7DF25AD3" w14:textId="559344A4" w:rsidR="00C6016D" w:rsidRDefault="00C6016D" w:rsidP="00C6016D">
      <w:pPr>
        <w:spacing w:after="0" w:line="360" w:lineRule="auto"/>
        <w:jc w:val="both"/>
        <w:rPr>
          <w:rFonts w:ascii="Times New Roman" w:hAnsi="Times New Roman"/>
          <w:bCs/>
          <w:sz w:val="24"/>
          <w:szCs w:val="24"/>
          <w:lang w:val="es-MX"/>
        </w:rPr>
      </w:pPr>
    </w:p>
    <w:p w14:paraId="0DBD2850" w14:textId="2CC04BA5" w:rsidR="00C6016D" w:rsidRDefault="00C6016D" w:rsidP="00C6016D">
      <w:pPr>
        <w:spacing w:after="0" w:line="360" w:lineRule="auto"/>
        <w:jc w:val="both"/>
        <w:rPr>
          <w:rFonts w:ascii="Times New Roman" w:hAnsi="Times New Roman"/>
          <w:bCs/>
          <w:sz w:val="24"/>
          <w:szCs w:val="24"/>
          <w:lang w:val="es-MX"/>
        </w:rPr>
      </w:pPr>
    </w:p>
    <w:p w14:paraId="6822D6D3" w14:textId="1B984D59" w:rsidR="00C6016D" w:rsidRDefault="00C6016D" w:rsidP="00C6016D">
      <w:pPr>
        <w:spacing w:after="0" w:line="360" w:lineRule="auto"/>
        <w:jc w:val="both"/>
        <w:rPr>
          <w:rFonts w:ascii="Times New Roman" w:hAnsi="Times New Roman"/>
          <w:bCs/>
          <w:sz w:val="24"/>
          <w:szCs w:val="24"/>
          <w:lang w:val="es-MX"/>
        </w:rPr>
      </w:pPr>
    </w:p>
    <w:p w14:paraId="3CDC0A00" w14:textId="60788474" w:rsidR="00C6016D" w:rsidRDefault="00C6016D" w:rsidP="00C6016D">
      <w:pPr>
        <w:spacing w:after="0" w:line="360" w:lineRule="auto"/>
        <w:jc w:val="both"/>
        <w:rPr>
          <w:rFonts w:ascii="Times New Roman" w:hAnsi="Times New Roman"/>
          <w:bCs/>
          <w:sz w:val="24"/>
          <w:szCs w:val="24"/>
          <w:lang w:val="es-MX"/>
        </w:rPr>
      </w:pPr>
    </w:p>
    <w:p w14:paraId="0A7E49E9" w14:textId="29E6151C" w:rsidR="00C6016D" w:rsidRDefault="00C6016D" w:rsidP="00C6016D">
      <w:pPr>
        <w:spacing w:after="0" w:line="360" w:lineRule="auto"/>
        <w:jc w:val="both"/>
        <w:rPr>
          <w:rFonts w:ascii="Times New Roman" w:hAnsi="Times New Roman"/>
          <w:bCs/>
          <w:sz w:val="24"/>
          <w:szCs w:val="24"/>
          <w:lang w:val="es-MX"/>
        </w:rPr>
      </w:pPr>
    </w:p>
    <w:p w14:paraId="7AC4A61D" w14:textId="6525A9A8" w:rsidR="00C6016D" w:rsidRDefault="00C6016D" w:rsidP="00C6016D">
      <w:pPr>
        <w:spacing w:after="0" w:line="360" w:lineRule="auto"/>
        <w:jc w:val="both"/>
        <w:rPr>
          <w:rFonts w:ascii="Times New Roman" w:hAnsi="Times New Roman"/>
          <w:bCs/>
          <w:sz w:val="24"/>
          <w:szCs w:val="24"/>
          <w:lang w:val="es-MX"/>
        </w:rPr>
      </w:pPr>
    </w:p>
    <w:p w14:paraId="70EA8D6F" w14:textId="7140E1BE" w:rsidR="00C6016D" w:rsidRDefault="00C6016D" w:rsidP="00C6016D">
      <w:pPr>
        <w:spacing w:after="0" w:line="360" w:lineRule="auto"/>
        <w:jc w:val="both"/>
        <w:rPr>
          <w:rFonts w:ascii="Times New Roman" w:hAnsi="Times New Roman"/>
          <w:bCs/>
          <w:sz w:val="24"/>
          <w:szCs w:val="24"/>
          <w:lang w:val="es-MX"/>
        </w:rPr>
      </w:pPr>
    </w:p>
    <w:p w14:paraId="61213121" w14:textId="77777777" w:rsidR="00C6016D" w:rsidRPr="00C6016D" w:rsidRDefault="00C6016D" w:rsidP="00C6016D">
      <w:pPr>
        <w:spacing w:after="0" w:line="360" w:lineRule="auto"/>
        <w:jc w:val="both"/>
        <w:rPr>
          <w:rFonts w:ascii="Times New Roman" w:hAnsi="Times New Roman"/>
          <w:bCs/>
          <w:sz w:val="24"/>
          <w:szCs w:val="24"/>
          <w:lang w:val="es-MX"/>
        </w:rPr>
      </w:pPr>
    </w:p>
    <w:p w14:paraId="7DB11B98"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
          <w:bCs/>
          <w:sz w:val="24"/>
          <w:szCs w:val="24"/>
          <w:lang w:val="es-VE"/>
        </w:rPr>
        <w:t>Figura 2</w:t>
      </w:r>
    </w:p>
    <w:p w14:paraId="0E7C8770"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Cs/>
          <w:i/>
          <w:sz w:val="24"/>
          <w:szCs w:val="24"/>
          <w:lang w:val="es-VE"/>
        </w:rPr>
        <w:t>Principal razón del uso de la IA generativa</w:t>
      </w:r>
      <w:r w:rsidRPr="00C6016D">
        <w:rPr>
          <w:rFonts w:ascii="Times New Roman" w:hAnsi="Times New Roman"/>
          <w:b/>
          <w:bCs/>
          <w:sz w:val="24"/>
          <w:szCs w:val="24"/>
          <w:lang w:val="es-VE"/>
        </w:rPr>
        <w:t xml:space="preserve"> </w:t>
      </w:r>
    </w:p>
    <w:p w14:paraId="5A6498D8" w14:textId="77777777" w:rsidR="00C6016D" w:rsidRPr="00C6016D" w:rsidRDefault="00C6016D" w:rsidP="00C6016D">
      <w:pPr>
        <w:spacing w:after="0" w:line="360" w:lineRule="auto"/>
        <w:jc w:val="center"/>
        <w:rPr>
          <w:rFonts w:ascii="Times New Roman" w:hAnsi="Times New Roman"/>
          <w:bCs/>
          <w:sz w:val="24"/>
          <w:szCs w:val="24"/>
          <w:lang w:val="es-VE"/>
        </w:rPr>
      </w:pPr>
      <w:r w:rsidRPr="00C6016D">
        <w:rPr>
          <w:rFonts w:ascii="Times New Roman" w:hAnsi="Times New Roman"/>
          <w:bCs/>
          <w:sz w:val="24"/>
          <w:szCs w:val="24"/>
        </w:rPr>
        <w:drawing>
          <wp:inline distT="0" distB="0" distL="0" distR="0" wp14:anchorId="113A75D7" wp14:editId="0AC77068">
            <wp:extent cx="5930900" cy="2146300"/>
            <wp:effectExtent l="0" t="0" r="12700" b="63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488968"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i/>
          <w:sz w:val="24"/>
          <w:szCs w:val="24"/>
          <w:lang w:val="es-MX"/>
        </w:rPr>
        <w:t xml:space="preserve">Nota: </w:t>
      </w:r>
      <w:r w:rsidRPr="00C6016D">
        <w:rPr>
          <w:rFonts w:ascii="Times New Roman" w:hAnsi="Times New Roman"/>
          <w:bCs/>
          <w:sz w:val="24"/>
          <w:szCs w:val="24"/>
          <w:lang w:val="es-MX"/>
        </w:rPr>
        <w:t xml:space="preserve">Elaborado con los datos extraídos del cuestionario aplicado a los estudiantes universitarios. </w:t>
      </w:r>
    </w:p>
    <w:p w14:paraId="59CC4D0C"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La Figura 2 evidencia que la “búsqueda de información” se presenta como la opción más popular (42.67%), lo que demuestra que los estudiantes consideran estas tecnologías como fuentes rápidas para consultas, sugiriendo una función análoga a la de los motores de búsqueda, pero con una mayor capacidad de síntesis y contextualización. Esta preferencia también indica que el uso no se centra únicamente en la creación de contenido, sino en la exploración de ideas.</w:t>
      </w:r>
    </w:p>
    <w:p w14:paraId="0DB49F47"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A pesar de que la redacción de textos ocupa el segundo lugar (20.00%), sugiere que hay quienes perciben estas herramientas como facilitadoras del proceso de escritura. Sin embargo, el bajo porcentaje en “elaboración de ensayos” y “consulta de conceptos” revela que el uso aún no se ha afianzado en todos los aspectos del proceso académico. Esto podría representar una oportunidad para capacitar sobre su uso integral.</w:t>
      </w:r>
    </w:p>
    <w:p w14:paraId="654F1911" w14:textId="5166A99C" w:rsid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La Figura 3 evidencia la percepción de los estudiantes acerca de las herramientas de IA generativa en el desarrollo del pensamiento crítico:</w:t>
      </w:r>
    </w:p>
    <w:p w14:paraId="6A85B1B7" w14:textId="25FFB6D6" w:rsidR="00C6016D" w:rsidRDefault="00C6016D" w:rsidP="00C6016D">
      <w:pPr>
        <w:spacing w:after="0" w:line="360" w:lineRule="auto"/>
        <w:jc w:val="both"/>
        <w:rPr>
          <w:rFonts w:ascii="Times New Roman" w:hAnsi="Times New Roman"/>
          <w:bCs/>
          <w:sz w:val="24"/>
          <w:szCs w:val="24"/>
          <w:lang w:val="es-MX"/>
        </w:rPr>
      </w:pPr>
    </w:p>
    <w:p w14:paraId="5E160529" w14:textId="0DD0D26F" w:rsidR="00C6016D" w:rsidRDefault="00C6016D" w:rsidP="00C6016D">
      <w:pPr>
        <w:spacing w:after="0" w:line="360" w:lineRule="auto"/>
        <w:jc w:val="both"/>
        <w:rPr>
          <w:rFonts w:ascii="Times New Roman" w:hAnsi="Times New Roman"/>
          <w:bCs/>
          <w:sz w:val="24"/>
          <w:szCs w:val="24"/>
          <w:lang w:val="es-MX"/>
        </w:rPr>
      </w:pPr>
    </w:p>
    <w:p w14:paraId="1F25AC51" w14:textId="0350578D" w:rsidR="00C6016D" w:rsidRDefault="00C6016D" w:rsidP="00C6016D">
      <w:pPr>
        <w:spacing w:after="0" w:line="360" w:lineRule="auto"/>
        <w:jc w:val="both"/>
        <w:rPr>
          <w:rFonts w:ascii="Times New Roman" w:hAnsi="Times New Roman"/>
          <w:bCs/>
          <w:sz w:val="24"/>
          <w:szCs w:val="24"/>
          <w:lang w:val="es-MX"/>
        </w:rPr>
      </w:pPr>
    </w:p>
    <w:p w14:paraId="3C3B7192" w14:textId="4F80D478" w:rsidR="00C6016D" w:rsidRDefault="00C6016D" w:rsidP="00C6016D">
      <w:pPr>
        <w:spacing w:after="0" w:line="360" w:lineRule="auto"/>
        <w:jc w:val="both"/>
        <w:rPr>
          <w:rFonts w:ascii="Times New Roman" w:hAnsi="Times New Roman"/>
          <w:bCs/>
          <w:sz w:val="24"/>
          <w:szCs w:val="24"/>
          <w:lang w:val="es-MX"/>
        </w:rPr>
      </w:pPr>
    </w:p>
    <w:p w14:paraId="1C63D5B0" w14:textId="3D098F76" w:rsidR="00C6016D" w:rsidRDefault="00C6016D" w:rsidP="00C6016D">
      <w:pPr>
        <w:spacing w:after="0" w:line="360" w:lineRule="auto"/>
        <w:jc w:val="both"/>
        <w:rPr>
          <w:rFonts w:ascii="Times New Roman" w:hAnsi="Times New Roman"/>
          <w:bCs/>
          <w:sz w:val="24"/>
          <w:szCs w:val="24"/>
          <w:lang w:val="es-MX"/>
        </w:rPr>
      </w:pPr>
    </w:p>
    <w:p w14:paraId="32D1897F" w14:textId="2B9488A2" w:rsidR="00C6016D" w:rsidRDefault="00C6016D" w:rsidP="00C6016D">
      <w:pPr>
        <w:spacing w:after="0" w:line="360" w:lineRule="auto"/>
        <w:jc w:val="both"/>
        <w:rPr>
          <w:rFonts w:ascii="Times New Roman" w:hAnsi="Times New Roman"/>
          <w:bCs/>
          <w:sz w:val="24"/>
          <w:szCs w:val="24"/>
          <w:lang w:val="es-MX"/>
        </w:rPr>
      </w:pPr>
    </w:p>
    <w:p w14:paraId="7C4A6ADE" w14:textId="77777777" w:rsidR="00C6016D" w:rsidRPr="00C6016D" w:rsidRDefault="00C6016D" w:rsidP="00C6016D">
      <w:pPr>
        <w:spacing w:after="0" w:line="360" w:lineRule="auto"/>
        <w:jc w:val="both"/>
        <w:rPr>
          <w:rFonts w:ascii="Times New Roman" w:hAnsi="Times New Roman"/>
          <w:bCs/>
          <w:sz w:val="24"/>
          <w:szCs w:val="24"/>
          <w:lang w:val="es-MX"/>
        </w:rPr>
      </w:pPr>
    </w:p>
    <w:p w14:paraId="26819CCF"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
          <w:bCs/>
          <w:sz w:val="24"/>
          <w:szCs w:val="24"/>
          <w:lang w:val="es-VE"/>
        </w:rPr>
        <w:t>Figura 3</w:t>
      </w:r>
    </w:p>
    <w:p w14:paraId="55697FCC"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Cs/>
          <w:i/>
          <w:sz w:val="24"/>
          <w:szCs w:val="24"/>
          <w:lang w:val="es-VE"/>
        </w:rPr>
        <w:t>Contribución de las herramientas de IA generativa en el pensamiento crítico</w:t>
      </w:r>
      <w:r w:rsidRPr="00C6016D">
        <w:rPr>
          <w:rFonts w:ascii="Times New Roman" w:hAnsi="Times New Roman"/>
          <w:b/>
          <w:bCs/>
          <w:sz w:val="24"/>
          <w:szCs w:val="24"/>
          <w:lang w:val="es-VE"/>
        </w:rPr>
        <w:t xml:space="preserve"> </w:t>
      </w:r>
    </w:p>
    <w:p w14:paraId="4B58A3B4" w14:textId="77777777" w:rsidR="00C6016D" w:rsidRPr="00C6016D" w:rsidRDefault="00C6016D" w:rsidP="00C6016D">
      <w:pPr>
        <w:spacing w:after="0" w:line="360" w:lineRule="auto"/>
        <w:jc w:val="center"/>
        <w:rPr>
          <w:rFonts w:ascii="Times New Roman" w:hAnsi="Times New Roman"/>
          <w:bCs/>
          <w:sz w:val="24"/>
          <w:szCs w:val="24"/>
          <w:lang w:val="es-VE"/>
        </w:rPr>
      </w:pPr>
      <w:r w:rsidRPr="00C6016D">
        <w:rPr>
          <w:rFonts w:ascii="Times New Roman" w:hAnsi="Times New Roman"/>
          <w:bCs/>
          <w:sz w:val="24"/>
          <w:szCs w:val="24"/>
        </w:rPr>
        <w:drawing>
          <wp:inline distT="0" distB="0" distL="0" distR="0" wp14:anchorId="202FFB35" wp14:editId="6BC4E749">
            <wp:extent cx="5924550" cy="2159000"/>
            <wp:effectExtent l="0" t="0" r="0" b="127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8D0E21"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i/>
          <w:sz w:val="24"/>
          <w:szCs w:val="24"/>
          <w:lang w:val="es-MX"/>
        </w:rPr>
        <w:t xml:space="preserve">Nota: </w:t>
      </w:r>
      <w:r w:rsidRPr="00C6016D">
        <w:rPr>
          <w:rFonts w:ascii="Times New Roman" w:hAnsi="Times New Roman"/>
          <w:bCs/>
          <w:sz w:val="24"/>
          <w:szCs w:val="24"/>
          <w:lang w:val="es-MX"/>
        </w:rPr>
        <w:t xml:space="preserve">Elaborado con los datos extraídos del cuestionario aplicado a los estudiantes universitarios. </w:t>
      </w:r>
    </w:p>
    <w:p w14:paraId="1863C462"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La Figura 3 pone en evidencia, que el 60% de los estudiantes opina que el impacto en su pensamiento crítico ha sido significativo o decisivo, lo que indica una percepción positiva sobre cómo estas herramientas de la IA generativa fomentan la reflexión, el análisis y la argumentación. Esta autovaloración podría estar relacionada con el acceso rápido a diversas perspectivas, lo que facilita la confrontación de ideas.</w:t>
      </w:r>
    </w:p>
    <w:p w14:paraId="4671A683"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En contraste, solo un 4% sostiene que dichas herramientas no han contribuido en absoluto, lo que representa un porcentaje mínimo pero relevante para investigar por qué no se percibe un beneficio. La cifra del 24% que reconoce una mejora "moderada" podría reflejar una zona intermedia donde la tecnología se considera útil, pero aún no completamente transformadora del pensamiento reflexivo.</w:t>
      </w:r>
    </w:p>
    <w:p w14:paraId="110DD14D" w14:textId="4DF2B372" w:rsid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La Figura 4 muestra los resultados sobre la capacidad de los estudiantes para identificar fuentes confiables en internet. Dichos resultados apuntan a que la mayoría se sitúa entre “moderadamente capaz” (36.00%) y “muy capaz” (33.33%), lo que indica una percepción de competencia relativa en habilidades de evaluación crítica. Este dato es relevante al considerar que, para aprovechar verdaderamente la inteligencia generativa, es fundamental distinguir entre fuentes verídicas y aquellas que no lo son.</w:t>
      </w:r>
    </w:p>
    <w:p w14:paraId="72DAEC5C" w14:textId="53AA7E5B" w:rsidR="00C6016D" w:rsidRDefault="00C6016D" w:rsidP="00C6016D">
      <w:pPr>
        <w:spacing w:after="0" w:line="360" w:lineRule="auto"/>
        <w:jc w:val="both"/>
        <w:rPr>
          <w:rFonts w:ascii="Times New Roman" w:hAnsi="Times New Roman"/>
          <w:bCs/>
          <w:sz w:val="24"/>
          <w:szCs w:val="24"/>
          <w:lang w:val="es-MX"/>
        </w:rPr>
      </w:pPr>
    </w:p>
    <w:p w14:paraId="4EBE497E" w14:textId="751637D8" w:rsidR="00C6016D" w:rsidRDefault="00C6016D" w:rsidP="00C6016D">
      <w:pPr>
        <w:spacing w:after="0" w:line="360" w:lineRule="auto"/>
        <w:jc w:val="both"/>
        <w:rPr>
          <w:rFonts w:ascii="Times New Roman" w:hAnsi="Times New Roman"/>
          <w:bCs/>
          <w:sz w:val="24"/>
          <w:szCs w:val="24"/>
          <w:lang w:val="es-MX"/>
        </w:rPr>
      </w:pPr>
    </w:p>
    <w:p w14:paraId="706947D6" w14:textId="11F5CC04" w:rsidR="00C6016D" w:rsidRDefault="00C6016D" w:rsidP="00C6016D">
      <w:pPr>
        <w:spacing w:after="0" w:line="360" w:lineRule="auto"/>
        <w:jc w:val="both"/>
        <w:rPr>
          <w:rFonts w:ascii="Times New Roman" w:hAnsi="Times New Roman"/>
          <w:bCs/>
          <w:sz w:val="24"/>
          <w:szCs w:val="24"/>
          <w:lang w:val="es-MX"/>
        </w:rPr>
      </w:pPr>
    </w:p>
    <w:p w14:paraId="1DA05EE4" w14:textId="77777777" w:rsidR="00C6016D" w:rsidRPr="00C6016D" w:rsidRDefault="00C6016D" w:rsidP="00C6016D">
      <w:pPr>
        <w:spacing w:after="0" w:line="360" w:lineRule="auto"/>
        <w:jc w:val="both"/>
        <w:rPr>
          <w:rFonts w:ascii="Times New Roman" w:hAnsi="Times New Roman"/>
          <w:bCs/>
          <w:sz w:val="24"/>
          <w:szCs w:val="24"/>
          <w:lang w:val="es-MX"/>
        </w:rPr>
      </w:pPr>
    </w:p>
    <w:p w14:paraId="5A23250D"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
          <w:bCs/>
          <w:sz w:val="24"/>
          <w:szCs w:val="24"/>
          <w:lang w:val="es-VE"/>
        </w:rPr>
        <w:t>Figura 4</w:t>
      </w:r>
    </w:p>
    <w:p w14:paraId="115158C4"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Cs/>
          <w:i/>
          <w:sz w:val="24"/>
          <w:szCs w:val="24"/>
          <w:lang w:val="es-VE"/>
        </w:rPr>
        <w:t>Capacidad para identificar fuentes confiables en internet</w:t>
      </w:r>
      <w:r w:rsidRPr="00C6016D">
        <w:rPr>
          <w:rFonts w:ascii="Times New Roman" w:hAnsi="Times New Roman"/>
          <w:b/>
          <w:bCs/>
          <w:sz w:val="24"/>
          <w:szCs w:val="24"/>
          <w:lang w:val="es-VE"/>
        </w:rPr>
        <w:t xml:space="preserve"> </w:t>
      </w:r>
    </w:p>
    <w:p w14:paraId="78C70009" w14:textId="77777777" w:rsidR="00C6016D" w:rsidRPr="00C6016D" w:rsidRDefault="00C6016D" w:rsidP="00C6016D">
      <w:pPr>
        <w:spacing w:after="0" w:line="360" w:lineRule="auto"/>
        <w:jc w:val="center"/>
        <w:rPr>
          <w:rFonts w:ascii="Times New Roman" w:hAnsi="Times New Roman"/>
          <w:bCs/>
          <w:sz w:val="24"/>
          <w:szCs w:val="24"/>
          <w:lang w:val="es-VE"/>
        </w:rPr>
      </w:pPr>
      <w:r w:rsidRPr="00C6016D">
        <w:rPr>
          <w:rFonts w:ascii="Times New Roman" w:hAnsi="Times New Roman"/>
          <w:bCs/>
          <w:sz w:val="24"/>
          <w:szCs w:val="24"/>
        </w:rPr>
        <w:drawing>
          <wp:inline distT="0" distB="0" distL="0" distR="0" wp14:anchorId="7BE9BCD9" wp14:editId="50FECF3C">
            <wp:extent cx="5956300" cy="2095500"/>
            <wp:effectExtent l="0" t="0" r="635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595940"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i/>
          <w:sz w:val="24"/>
          <w:szCs w:val="24"/>
          <w:lang w:val="es-MX"/>
        </w:rPr>
        <w:t xml:space="preserve">Nota: </w:t>
      </w:r>
      <w:r w:rsidRPr="00C6016D">
        <w:rPr>
          <w:rFonts w:ascii="Times New Roman" w:hAnsi="Times New Roman"/>
          <w:bCs/>
          <w:sz w:val="24"/>
          <w:szCs w:val="24"/>
          <w:lang w:val="es-MX"/>
        </w:rPr>
        <w:t xml:space="preserve">Elaborado con los datos extraídos del cuestionario aplicado a los estudiantes universitarios. </w:t>
      </w:r>
    </w:p>
    <w:p w14:paraId="4FC1A904"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A pesar de que solo un 9.3% se considera poco o nada capaz, sigue siendo un grupo que podría beneficiarse de estrategias pedagógicas para mejorar la alfabetización informacional. Estos estudiantes podrían estar en riesgo de aceptar respuestas generadas sin verificar su origen, lo que podría comprometer la calidad del aprendizaje.</w:t>
      </w:r>
    </w:p>
    <w:p w14:paraId="537DE434"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Respecto a las habilidades para analizar información y argumentar con coherencia, la Figura 5 muestra los resultados a continuación:</w:t>
      </w:r>
    </w:p>
    <w:p w14:paraId="1FA8925B"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
          <w:bCs/>
          <w:sz w:val="24"/>
          <w:szCs w:val="24"/>
          <w:lang w:val="es-VE"/>
        </w:rPr>
        <w:t>Figura 5</w:t>
      </w:r>
    </w:p>
    <w:p w14:paraId="21038361"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Cs/>
          <w:i/>
          <w:sz w:val="24"/>
          <w:szCs w:val="24"/>
          <w:lang w:val="es-VE"/>
        </w:rPr>
        <w:t>Capacidad para analizar información y argumentar con coherencia</w:t>
      </w:r>
      <w:r w:rsidRPr="00C6016D">
        <w:rPr>
          <w:rFonts w:ascii="Times New Roman" w:hAnsi="Times New Roman"/>
          <w:b/>
          <w:bCs/>
          <w:sz w:val="24"/>
          <w:szCs w:val="24"/>
          <w:lang w:val="es-VE"/>
        </w:rPr>
        <w:t xml:space="preserve"> </w:t>
      </w:r>
    </w:p>
    <w:p w14:paraId="1ED3DD4F" w14:textId="77777777" w:rsidR="00C6016D" w:rsidRPr="00C6016D" w:rsidRDefault="00C6016D" w:rsidP="00C6016D">
      <w:pPr>
        <w:spacing w:after="0" w:line="360" w:lineRule="auto"/>
        <w:jc w:val="center"/>
        <w:rPr>
          <w:rFonts w:ascii="Times New Roman" w:hAnsi="Times New Roman"/>
          <w:bCs/>
          <w:sz w:val="24"/>
          <w:szCs w:val="24"/>
          <w:lang w:val="es-VE"/>
        </w:rPr>
      </w:pPr>
      <w:r w:rsidRPr="00C6016D">
        <w:rPr>
          <w:rFonts w:ascii="Times New Roman" w:hAnsi="Times New Roman"/>
          <w:bCs/>
          <w:sz w:val="24"/>
          <w:szCs w:val="24"/>
        </w:rPr>
        <w:drawing>
          <wp:inline distT="0" distB="0" distL="0" distR="0" wp14:anchorId="5A611B1E" wp14:editId="5A5A446F">
            <wp:extent cx="5962650" cy="20574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DDD499"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i/>
          <w:sz w:val="24"/>
          <w:szCs w:val="24"/>
          <w:lang w:val="es-MX"/>
        </w:rPr>
        <w:t xml:space="preserve">Nota: </w:t>
      </w:r>
      <w:r w:rsidRPr="00C6016D">
        <w:rPr>
          <w:rFonts w:ascii="Times New Roman" w:hAnsi="Times New Roman"/>
          <w:bCs/>
          <w:sz w:val="24"/>
          <w:szCs w:val="24"/>
          <w:lang w:val="es-MX"/>
        </w:rPr>
        <w:t xml:space="preserve">Elaborado con los datos extraídos del cuestionario aplicado a los estudiantes universitarios. </w:t>
      </w:r>
    </w:p>
    <w:p w14:paraId="1931D491"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Se evidencia en la Figura 5, que el 61.33% de los estudiantes opina que sus habilidades para argumentar han mejorado “bastante” o “significativamente”, lo que coincide con el impacto positivo que reportan en su pensamiento crítico. Este hallazgo sugiere que el uso reflexivo de herramientas generativas puede promover la construcción coherente de ideas y la organización de textos argumentativos.</w:t>
      </w:r>
    </w:p>
    <w:p w14:paraId="27B47021"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Por otro lado, el 16% que señala mejoras mínimas o inexistentes representa una alerta para comprender por qué la inteligencia generativa no ha tenido un efecto tangible en su formación argumentativa. Tal vez estos estudiantes aún no utilizan las herramientas como espacios para el debate o el contraste de perspectivas, sino como fuentes automatizadas.</w:t>
      </w:r>
    </w:p>
    <w:p w14:paraId="503E7755"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
          <w:bCs/>
          <w:sz w:val="24"/>
          <w:szCs w:val="24"/>
          <w:lang w:val="es-MX"/>
        </w:rPr>
        <w:t>Nivel de Pensamiento Crítico</w:t>
      </w:r>
    </w:p>
    <w:p w14:paraId="0774CD73"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 xml:space="preserve">Los resultados obtenidos de la prueba estandarizada </w:t>
      </w:r>
      <w:r w:rsidRPr="00C6016D">
        <w:rPr>
          <w:rFonts w:ascii="Times New Roman" w:hAnsi="Times New Roman"/>
          <w:bCs/>
          <w:i/>
          <w:iCs/>
          <w:sz w:val="24"/>
          <w:szCs w:val="24"/>
          <w:lang w:val="es-VE"/>
        </w:rPr>
        <w:t xml:space="preserve">Watson-Glaser </w:t>
      </w:r>
      <w:proofErr w:type="spellStart"/>
      <w:r w:rsidRPr="00C6016D">
        <w:rPr>
          <w:rFonts w:ascii="Times New Roman" w:hAnsi="Times New Roman"/>
          <w:bCs/>
          <w:i/>
          <w:iCs/>
          <w:sz w:val="24"/>
          <w:szCs w:val="24"/>
          <w:lang w:val="es-VE"/>
        </w:rPr>
        <w:t>Critical</w:t>
      </w:r>
      <w:proofErr w:type="spellEnd"/>
      <w:r w:rsidRPr="00C6016D">
        <w:rPr>
          <w:rFonts w:ascii="Times New Roman" w:hAnsi="Times New Roman"/>
          <w:bCs/>
          <w:i/>
          <w:iCs/>
          <w:sz w:val="24"/>
          <w:szCs w:val="24"/>
          <w:lang w:val="es-VE"/>
        </w:rPr>
        <w:t xml:space="preserve"> </w:t>
      </w:r>
      <w:proofErr w:type="spellStart"/>
      <w:r w:rsidRPr="00C6016D">
        <w:rPr>
          <w:rFonts w:ascii="Times New Roman" w:hAnsi="Times New Roman"/>
          <w:bCs/>
          <w:i/>
          <w:iCs/>
          <w:sz w:val="24"/>
          <w:szCs w:val="24"/>
          <w:lang w:val="es-VE"/>
        </w:rPr>
        <w:t>Thinking</w:t>
      </w:r>
      <w:proofErr w:type="spellEnd"/>
      <w:r w:rsidRPr="00C6016D">
        <w:rPr>
          <w:rFonts w:ascii="Times New Roman" w:hAnsi="Times New Roman"/>
          <w:bCs/>
          <w:i/>
          <w:iCs/>
          <w:sz w:val="24"/>
          <w:szCs w:val="24"/>
          <w:lang w:val="es-VE"/>
        </w:rPr>
        <w:t xml:space="preserve"> </w:t>
      </w:r>
      <w:proofErr w:type="spellStart"/>
      <w:r w:rsidRPr="00C6016D">
        <w:rPr>
          <w:rFonts w:ascii="Times New Roman" w:hAnsi="Times New Roman"/>
          <w:bCs/>
          <w:i/>
          <w:iCs/>
          <w:sz w:val="24"/>
          <w:szCs w:val="24"/>
          <w:lang w:val="es-VE"/>
        </w:rPr>
        <w:t>Appraisal</w:t>
      </w:r>
      <w:proofErr w:type="spellEnd"/>
      <w:r w:rsidRPr="00C6016D">
        <w:rPr>
          <w:rFonts w:ascii="Times New Roman" w:hAnsi="Times New Roman"/>
          <w:bCs/>
          <w:sz w:val="24"/>
          <w:szCs w:val="24"/>
          <w:lang w:val="es-VE"/>
        </w:rPr>
        <w:t>, se exponen en la Tabla 1 y Figura 6, a continuación:</w:t>
      </w:r>
    </w:p>
    <w:p w14:paraId="26FA78E4"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
          <w:bCs/>
          <w:sz w:val="24"/>
          <w:szCs w:val="24"/>
          <w:lang w:val="es-VE"/>
        </w:rPr>
        <w:t>Tabla 1</w:t>
      </w:r>
    </w:p>
    <w:p w14:paraId="71FC7A92" w14:textId="77777777" w:rsidR="00C6016D" w:rsidRPr="00C6016D" w:rsidRDefault="00C6016D" w:rsidP="00C6016D">
      <w:pPr>
        <w:spacing w:after="0" w:line="360" w:lineRule="auto"/>
        <w:jc w:val="both"/>
        <w:rPr>
          <w:rFonts w:ascii="Times New Roman" w:hAnsi="Times New Roman"/>
          <w:bCs/>
          <w:i/>
          <w:sz w:val="24"/>
          <w:szCs w:val="24"/>
          <w:lang w:val="es-VE"/>
        </w:rPr>
      </w:pPr>
      <w:r w:rsidRPr="00C6016D">
        <w:rPr>
          <w:rFonts w:ascii="Times New Roman" w:hAnsi="Times New Roman"/>
          <w:bCs/>
          <w:i/>
          <w:sz w:val="24"/>
          <w:szCs w:val="24"/>
          <w:lang w:val="es-VE"/>
        </w:rPr>
        <w:t>Nivel de pensamiento crítico</w:t>
      </w:r>
    </w:p>
    <w:tbl>
      <w:tblPr>
        <w:tblStyle w:val="Tablaconcuadrcula"/>
        <w:tblW w:w="5000" w:type="pct"/>
        <w:tblLook w:val="04A0" w:firstRow="1" w:lastRow="0" w:firstColumn="1" w:lastColumn="0" w:noHBand="0" w:noVBand="1"/>
      </w:tblPr>
      <w:tblGrid>
        <w:gridCol w:w="4276"/>
        <w:gridCol w:w="827"/>
        <w:gridCol w:w="860"/>
        <w:gridCol w:w="983"/>
        <w:gridCol w:w="935"/>
        <w:gridCol w:w="767"/>
        <w:gridCol w:w="756"/>
      </w:tblGrid>
      <w:tr w:rsidR="00C6016D" w:rsidRPr="00C6016D" w14:paraId="125262FB" w14:textId="77777777" w:rsidTr="00E211E6">
        <w:trPr>
          <w:trHeight w:val="205"/>
        </w:trPr>
        <w:tc>
          <w:tcPr>
            <w:tcW w:w="2274" w:type="pct"/>
            <w:vMerge w:val="restart"/>
            <w:tcBorders>
              <w:left w:val="nil"/>
            </w:tcBorders>
            <w:noWrap/>
            <w:vAlign w:val="center"/>
            <w:hideMark/>
          </w:tcPr>
          <w:p w14:paraId="7DF738A2" w14:textId="77777777" w:rsidR="00C6016D" w:rsidRPr="00C6016D" w:rsidRDefault="00C6016D" w:rsidP="00C6016D">
            <w:pPr>
              <w:spacing w:after="0" w:line="360" w:lineRule="auto"/>
              <w:jc w:val="both"/>
              <w:rPr>
                <w:rFonts w:ascii="Times New Roman" w:hAnsi="Times New Roman"/>
                <w:b/>
                <w:bCs/>
                <w:sz w:val="24"/>
                <w:szCs w:val="24"/>
              </w:rPr>
            </w:pPr>
            <w:r w:rsidRPr="00C6016D">
              <w:rPr>
                <w:rFonts w:ascii="Times New Roman" w:hAnsi="Times New Roman"/>
                <w:b/>
                <w:bCs/>
                <w:sz w:val="24"/>
                <w:szCs w:val="24"/>
              </w:rPr>
              <w:t>Dimensión</w:t>
            </w:r>
          </w:p>
        </w:tc>
        <w:tc>
          <w:tcPr>
            <w:tcW w:w="898" w:type="pct"/>
            <w:gridSpan w:val="2"/>
            <w:noWrap/>
            <w:vAlign w:val="center"/>
            <w:hideMark/>
          </w:tcPr>
          <w:p w14:paraId="104499F6" w14:textId="77777777" w:rsidR="00C6016D" w:rsidRPr="00C6016D" w:rsidRDefault="00C6016D" w:rsidP="00C6016D">
            <w:pPr>
              <w:spacing w:after="0" w:line="360" w:lineRule="auto"/>
              <w:jc w:val="both"/>
              <w:rPr>
                <w:rFonts w:ascii="Times New Roman" w:hAnsi="Times New Roman"/>
                <w:b/>
                <w:bCs/>
                <w:sz w:val="24"/>
                <w:szCs w:val="24"/>
              </w:rPr>
            </w:pPr>
            <w:r w:rsidRPr="00C6016D">
              <w:rPr>
                <w:rFonts w:ascii="Times New Roman" w:hAnsi="Times New Roman"/>
                <w:b/>
                <w:bCs/>
                <w:sz w:val="24"/>
                <w:szCs w:val="24"/>
              </w:rPr>
              <w:t>Bajo (&lt;=40%)</w:t>
            </w:r>
          </w:p>
        </w:tc>
        <w:tc>
          <w:tcPr>
            <w:tcW w:w="1020" w:type="pct"/>
            <w:gridSpan w:val="2"/>
            <w:noWrap/>
            <w:vAlign w:val="center"/>
            <w:hideMark/>
          </w:tcPr>
          <w:p w14:paraId="32D336A1" w14:textId="77777777" w:rsidR="00C6016D" w:rsidRPr="00C6016D" w:rsidRDefault="00C6016D" w:rsidP="00C6016D">
            <w:pPr>
              <w:spacing w:after="0" w:line="360" w:lineRule="auto"/>
              <w:jc w:val="both"/>
              <w:rPr>
                <w:rFonts w:ascii="Times New Roman" w:hAnsi="Times New Roman"/>
                <w:b/>
                <w:bCs/>
                <w:sz w:val="24"/>
                <w:szCs w:val="24"/>
              </w:rPr>
            </w:pPr>
            <w:r w:rsidRPr="00C6016D">
              <w:rPr>
                <w:rFonts w:ascii="Times New Roman" w:hAnsi="Times New Roman"/>
                <w:b/>
                <w:bCs/>
                <w:sz w:val="24"/>
                <w:szCs w:val="24"/>
              </w:rPr>
              <w:t>Medio (41-70%)</w:t>
            </w:r>
          </w:p>
        </w:tc>
        <w:tc>
          <w:tcPr>
            <w:tcW w:w="808" w:type="pct"/>
            <w:gridSpan w:val="2"/>
            <w:tcBorders>
              <w:right w:val="nil"/>
            </w:tcBorders>
            <w:noWrap/>
            <w:vAlign w:val="center"/>
            <w:hideMark/>
          </w:tcPr>
          <w:p w14:paraId="6BE3842B" w14:textId="77777777" w:rsidR="00C6016D" w:rsidRPr="00C6016D" w:rsidRDefault="00C6016D" w:rsidP="00C6016D">
            <w:pPr>
              <w:spacing w:after="0" w:line="360" w:lineRule="auto"/>
              <w:jc w:val="both"/>
              <w:rPr>
                <w:rFonts w:ascii="Times New Roman" w:hAnsi="Times New Roman"/>
                <w:b/>
                <w:bCs/>
                <w:sz w:val="24"/>
                <w:szCs w:val="24"/>
              </w:rPr>
            </w:pPr>
            <w:r w:rsidRPr="00C6016D">
              <w:rPr>
                <w:rFonts w:ascii="Times New Roman" w:hAnsi="Times New Roman"/>
                <w:b/>
                <w:bCs/>
                <w:sz w:val="24"/>
                <w:szCs w:val="24"/>
              </w:rPr>
              <w:t>Alto (&gt;70%)</w:t>
            </w:r>
          </w:p>
        </w:tc>
      </w:tr>
      <w:tr w:rsidR="00C6016D" w:rsidRPr="00C6016D" w14:paraId="1A6766CF" w14:textId="77777777" w:rsidTr="00E211E6">
        <w:trPr>
          <w:trHeight w:val="237"/>
        </w:trPr>
        <w:tc>
          <w:tcPr>
            <w:tcW w:w="2274" w:type="pct"/>
            <w:vMerge/>
            <w:tcBorders>
              <w:left w:val="nil"/>
            </w:tcBorders>
            <w:hideMark/>
          </w:tcPr>
          <w:p w14:paraId="7DABE64F" w14:textId="77777777" w:rsidR="00C6016D" w:rsidRPr="00C6016D" w:rsidRDefault="00C6016D" w:rsidP="00C6016D">
            <w:pPr>
              <w:spacing w:after="0" w:line="360" w:lineRule="auto"/>
              <w:jc w:val="both"/>
              <w:rPr>
                <w:rFonts w:ascii="Times New Roman" w:hAnsi="Times New Roman"/>
                <w:b/>
                <w:bCs/>
                <w:sz w:val="24"/>
                <w:szCs w:val="24"/>
              </w:rPr>
            </w:pPr>
          </w:p>
        </w:tc>
        <w:tc>
          <w:tcPr>
            <w:tcW w:w="440" w:type="pct"/>
            <w:noWrap/>
            <w:vAlign w:val="center"/>
            <w:hideMark/>
          </w:tcPr>
          <w:p w14:paraId="46AF6E91" w14:textId="77777777" w:rsidR="00C6016D" w:rsidRPr="00C6016D" w:rsidRDefault="00C6016D" w:rsidP="00C6016D">
            <w:pPr>
              <w:spacing w:after="0" w:line="360" w:lineRule="auto"/>
              <w:jc w:val="both"/>
              <w:rPr>
                <w:rFonts w:ascii="Times New Roman" w:hAnsi="Times New Roman"/>
                <w:b/>
                <w:bCs/>
                <w:sz w:val="24"/>
                <w:szCs w:val="24"/>
              </w:rPr>
            </w:pPr>
            <w:proofErr w:type="spellStart"/>
            <w:r w:rsidRPr="00C6016D">
              <w:rPr>
                <w:rFonts w:ascii="Times New Roman" w:hAnsi="Times New Roman"/>
                <w:b/>
                <w:bCs/>
                <w:sz w:val="24"/>
                <w:szCs w:val="24"/>
              </w:rPr>
              <w:t>N°</w:t>
            </w:r>
            <w:proofErr w:type="spellEnd"/>
          </w:p>
        </w:tc>
        <w:tc>
          <w:tcPr>
            <w:tcW w:w="458" w:type="pct"/>
            <w:noWrap/>
            <w:vAlign w:val="center"/>
            <w:hideMark/>
          </w:tcPr>
          <w:p w14:paraId="533192E8" w14:textId="77777777" w:rsidR="00C6016D" w:rsidRPr="00C6016D" w:rsidRDefault="00C6016D" w:rsidP="00C6016D">
            <w:pPr>
              <w:spacing w:after="0" w:line="360" w:lineRule="auto"/>
              <w:jc w:val="both"/>
              <w:rPr>
                <w:rFonts w:ascii="Times New Roman" w:hAnsi="Times New Roman"/>
                <w:b/>
                <w:bCs/>
                <w:sz w:val="24"/>
                <w:szCs w:val="24"/>
              </w:rPr>
            </w:pPr>
            <w:r w:rsidRPr="00C6016D">
              <w:rPr>
                <w:rFonts w:ascii="Times New Roman" w:hAnsi="Times New Roman"/>
                <w:b/>
                <w:bCs/>
                <w:sz w:val="24"/>
                <w:szCs w:val="24"/>
              </w:rPr>
              <w:t>%</w:t>
            </w:r>
          </w:p>
        </w:tc>
        <w:tc>
          <w:tcPr>
            <w:tcW w:w="523" w:type="pct"/>
            <w:noWrap/>
            <w:vAlign w:val="center"/>
            <w:hideMark/>
          </w:tcPr>
          <w:p w14:paraId="2FDDAD24" w14:textId="77777777" w:rsidR="00C6016D" w:rsidRPr="00C6016D" w:rsidRDefault="00C6016D" w:rsidP="00C6016D">
            <w:pPr>
              <w:spacing w:after="0" w:line="360" w:lineRule="auto"/>
              <w:jc w:val="both"/>
              <w:rPr>
                <w:rFonts w:ascii="Times New Roman" w:hAnsi="Times New Roman"/>
                <w:b/>
                <w:bCs/>
                <w:sz w:val="24"/>
                <w:szCs w:val="24"/>
              </w:rPr>
            </w:pPr>
            <w:proofErr w:type="spellStart"/>
            <w:r w:rsidRPr="00C6016D">
              <w:rPr>
                <w:rFonts w:ascii="Times New Roman" w:hAnsi="Times New Roman"/>
                <w:b/>
                <w:bCs/>
                <w:sz w:val="24"/>
                <w:szCs w:val="24"/>
              </w:rPr>
              <w:t>N°</w:t>
            </w:r>
            <w:proofErr w:type="spellEnd"/>
          </w:p>
        </w:tc>
        <w:tc>
          <w:tcPr>
            <w:tcW w:w="497" w:type="pct"/>
            <w:noWrap/>
            <w:vAlign w:val="center"/>
            <w:hideMark/>
          </w:tcPr>
          <w:p w14:paraId="66481644" w14:textId="77777777" w:rsidR="00C6016D" w:rsidRPr="00C6016D" w:rsidRDefault="00C6016D" w:rsidP="00C6016D">
            <w:pPr>
              <w:spacing w:after="0" w:line="360" w:lineRule="auto"/>
              <w:jc w:val="both"/>
              <w:rPr>
                <w:rFonts w:ascii="Times New Roman" w:hAnsi="Times New Roman"/>
                <w:b/>
                <w:bCs/>
                <w:sz w:val="24"/>
                <w:szCs w:val="24"/>
              </w:rPr>
            </w:pPr>
            <w:r w:rsidRPr="00C6016D">
              <w:rPr>
                <w:rFonts w:ascii="Times New Roman" w:hAnsi="Times New Roman"/>
                <w:b/>
                <w:bCs/>
                <w:sz w:val="24"/>
                <w:szCs w:val="24"/>
              </w:rPr>
              <w:t>%</w:t>
            </w:r>
          </w:p>
        </w:tc>
        <w:tc>
          <w:tcPr>
            <w:tcW w:w="408" w:type="pct"/>
            <w:noWrap/>
            <w:vAlign w:val="center"/>
            <w:hideMark/>
          </w:tcPr>
          <w:p w14:paraId="768B26E3" w14:textId="77777777" w:rsidR="00C6016D" w:rsidRPr="00C6016D" w:rsidRDefault="00C6016D" w:rsidP="00C6016D">
            <w:pPr>
              <w:spacing w:after="0" w:line="360" w:lineRule="auto"/>
              <w:jc w:val="both"/>
              <w:rPr>
                <w:rFonts w:ascii="Times New Roman" w:hAnsi="Times New Roman"/>
                <w:b/>
                <w:bCs/>
                <w:sz w:val="24"/>
                <w:szCs w:val="24"/>
              </w:rPr>
            </w:pPr>
            <w:proofErr w:type="spellStart"/>
            <w:r w:rsidRPr="00C6016D">
              <w:rPr>
                <w:rFonts w:ascii="Times New Roman" w:hAnsi="Times New Roman"/>
                <w:b/>
                <w:bCs/>
                <w:sz w:val="24"/>
                <w:szCs w:val="24"/>
              </w:rPr>
              <w:t>N°</w:t>
            </w:r>
            <w:proofErr w:type="spellEnd"/>
          </w:p>
        </w:tc>
        <w:tc>
          <w:tcPr>
            <w:tcW w:w="400" w:type="pct"/>
            <w:tcBorders>
              <w:right w:val="nil"/>
            </w:tcBorders>
            <w:noWrap/>
            <w:vAlign w:val="center"/>
            <w:hideMark/>
          </w:tcPr>
          <w:p w14:paraId="535FB9CA" w14:textId="77777777" w:rsidR="00C6016D" w:rsidRPr="00C6016D" w:rsidRDefault="00C6016D" w:rsidP="00C6016D">
            <w:pPr>
              <w:spacing w:after="0" w:line="360" w:lineRule="auto"/>
              <w:jc w:val="both"/>
              <w:rPr>
                <w:rFonts w:ascii="Times New Roman" w:hAnsi="Times New Roman"/>
                <w:b/>
                <w:bCs/>
                <w:sz w:val="24"/>
                <w:szCs w:val="24"/>
              </w:rPr>
            </w:pPr>
            <w:r w:rsidRPr="00C6016D">
              <w:rPr>
                <w:rFonts w:ascii="Times New Roman" w:hAnsi="Times New Roman"/>
                <w:b/>
                <w:bCs/>
                <w:sz w:val="24"/>
                <w:szCs w:val="24"/>
              </w:rPr>
              <w:t>%</w:t>
            </w:r>
          </w:p>
        </w:tc>
      </w:tr>
      <w:tr w:rsidR="00C6016D" w:rsidRPr="00C6016D" w14:paraId="00E67223" w14:textId="77777777" w:rsidTr="00E211E6">
        <w:trPr>
          <w:trHeight w:val="300"/>
        </w:trPr>
        <w:tc>
          <w:tcPr>
            <w:tcW w:w="2274" w:type="pct"/>
            <w:tcBorders>
              <w:left w:val="nil"/>
              <w:bottom w:val="nil"/>
            </w:tcBorders>
            <w:hideMark/>
          </w:tcPr>
          <w:p w14:paraId="0BDFC04F"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Inferencias lógicas</w:t>
            </w:r>
          </w:p>
        </w:tc>
        <w:tc>
          <w:tcPr>
            <w:tcW w:w="440" w:type="pct"/>
            <w:tcBorders>
              <w:bottom w:val="nil"/>
            </w:tcBorders>
            <w:noWrap/>
            <w:hideMark/>
          </w:tcPr>
          <w:p w14:paraId="21E15784"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12</w:t>
            </w:r>
          </w:p>
        </w:tc>
        <w:tc>
          <w:tcPr>
            <w:tcW w:w="458" w:type="pct"/>
            <w:tcBorders>
              <w:bottom w:val="nil"/>
            </w:tcBorders>
            <w:noWrap/>
            <w:hideMark/>
          </w:tcPr>
          <w:p w14:paraId="5CE71B00"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16,00</w:t>
            </w:r>
          </w:p>
        </w:tc>
        <w:tc>
          <w:tcPr>
            <w:tcW w:w="523" w:type="pct"/>
            <w:tcBorders>
              <w:bottom w:val="nil"/>
            </w:tcBorders>
            <w:noWrap/>
            <w:hideMark/>
          </w:tcPr>
          <w:p w14:paraId="2903A3BF"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42</w:t>
            </w:r>
          </w:p>
        </w:tc>
        <w:tc>
          <w:tcPr>
            <w:tcW w:w="497" w:type="pct"/>
            <w:tcBorders>
              <w:bottom w:val="nil"/>
            </w:tcBorders>
            <w:noWrap/>
            <w:hideMark/>
          </w:tcPr>
          <w:p w14:paraId="0BAD9A93"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56,00</w:t>
            </w:r>
          </w:p>
        </w:tc>
        <w:tc>
          <w:tcPr>
            <w:tcW w:w="408" w:type="pct"/>
            <w:tcBorders>
              <w:bottom w:val="nil"/>
            </w:tcBorders>
            <w:noWrap/>
            <w:hideMark/>
          </w:tcPr>
          <w:p w14:paraId="1E0FB81F"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21</w:t>
            </w:r>
          </w:p>
        </w:tc>
        <w:tc>
          <w:tcPr>
            <w:tcW w:w="400" w:type="pct"/>
            <w:tcBorders>
              <w:bottom w:val="nil"/>
              <w:right w:val="nil"/>
            </w:tcBorders>
            <w:noWrap/>
            <w:hideMark/>
          </w:tcPr>
          <w:p w14:paraId="5C173203"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28,00</w:t>
            </w:r>
          </w:p>
        </w:tc>
      </w:tr>
      <w:tr w:rsidR="00C6016D" w:rsidRPr="00C6016D" w14:paraId="2A6C2262" w14:textId="77777777" w:rsidTr="00E211E6">
        <w:trPr>
          <w:trHeight w:val="280"/>
        </w:trPr>
        <w:tc>
          <w:tcPr>
            <w:tcW w:w="2274" w:type="pct"/>
            <w:tcBorders>
              <w:top w:val="nil"/>
              <w:left w:val="nil"/>
              <w:bottom w:val="nil"/>
            </w:tcBorders>
            <w:hideMark/>
          </w:tcPr>
          <w:p w14:paraId="23B56269"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Reconocimiento de supuestos</w:t>
            </w:r>
          </w:p>
        </w:tc>
        <w:tc>
          <w:tcPr>
            <w:tcW w:w="440" w:type="pct"/>
            <w:tcBorders>
              <w:top w:val="nil"/>
              <w:bottom w:val="nil"/>
            </w:tcBorders>
            <w:noWrap/>
            <w:hideMark/>
          </w:tcPr>
          <w:p w14:paraId="008D2ABE"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18</w:t>
            </w:r>
          </w:p>
        </w:tc>
        <w:tc>
          <w:tcPr>
            <w:tcW w:w="458" w:type="pct"/>
            <w:tcBorders>
              <w:top w:val="nil"/>
              <w:bottom w:val="nil"/>
            </w:tcBorders>
            <w:noWrap/>
            <w:hideMark/>
          </w:tcPr>
          <w:p w14:paraId="42AD7CC6"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24,00</w:t>
            </w:r>
          </w:p>
        </w:tc>
        <w:tc>
          <w:tcPr>
            <w:tcW w:w="523" w:type="pct"/>
            <w:tcBorders>
              <w:top w:val="nil"/>
              <w:bottom w:val="nil"/>
            </w:tcBorders>
            <w:noWrap/>
            <w:hideMark/>
          </w:tcPr>
          <w:p w14:paraId="14988D8A"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39</w:t>
            </w:r>
          </w:p>
        </w:tc>
        <w:tc>
          <w:tcPr>
            <w:tcW w:w="497" w:type="pct"/>
            <w:tcBorders>
              <w:top w:val="nil"/>
              <w:bottom w:val="nil"/>
            </w:tcBorders>
            <w:noWrap/>
            <w:hideMark/>
          </w:tcPr>
          <w:p w14:paraId="3B7AA70C"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52,00</w:t>
            </w:r>
          </w:p>
        </w:tc>
        <w:tc>
          <w:tcPr>
            <w:tcW w:w="408" w:type="pct"/>
            <w:tcBorders>
              <w:top w:val="nil"/>
              <w:bottom w:val="nil"/>
            </w:tcBorders>
            <w:noWrap/>
            <w:hideMark/>
          </w:tcPr>
          <w:p w14:paraId="6B674EE0"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18</w:t>
            </w:r>
          </w:p>
        </w:tc>
        <w:tc>
          <w:tcPr>
            <w:tcW w:w="400" w:type="pct"/>
            <w:tcBorders>
              <w:top w:val="nil"/>
              <w:bottom w:val="nil"/>
              <w:right w:val="nil"/>
            </w:tcBorders>
            <w:noWrap/>
            <w:hideMark/>
          </w:tcPr>
          <w:p w14:paraId="7549C735"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24,00</w:t>
            </w:r>
          </w:p>
        </w:tc>
      </w:tr>
      <w:tr w:rsidR="00C6016D" w:rsidRPr="00C6016D" w14:paraId="4B93CD49" w14:textId="77777777" w:rsidTr="00E211E6">
        <w:trPr>
          <w:trHeight w:val="300"/>
        </w:trPr>
        <w:tc>
          <w:tcPr>
            <w:tcW w:w="2274" w:type="pct"/>
            <w:tcBorders>
              <w:top w:val="nil"/>
              <w:left w:val="nil"/>
              <w:bottom w:val="nil"/>
            </w:tcBorders>
            <w:hideMark/>
          </w:tcPr>
          <w:p w14:paraId="116FD342"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Argumentación</w:t>
            </w:r>
          </w:p>
        </w:tc>
        <w:tc>
          <w:tcPr>
            <w:tcW w:w="440" w:type="pct"/>
            <w:tcBorders>
              <w:top w:val="nil"/>
              <w:bottom w:val="nil"/>
            </w:tcBorders>
            <w:noWrap/>
            <w:hideMark/>
          </w:tcPr>
          <w:p w14:paraId="0A0853A9"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10</w:t>
            </w:r>
          </w:p>
        </w:tc>
        <w:tc>
          <w:tcPr>
            <w:tcW w:w="458" w:type="pct"/>
            <w:tcBorders>
              <w:top w:val="nil"/>
              <w:bottom w:val="nil"/>
            </w:tcBorders>
            <w:noWrap/>
            <w:hideMark/>
          </w:tcPr>
          <w:p w14:paraId="7C7E3536"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13,33</w:t>
            </w:r>
          </w:p>
        </w:tc>
        <w:tc>
          <w:tcPr>
            <w:tcW w:w="523" w:type="pct"/>
            <w:tcBorders>
              <w:top w:val="nil"/>
              <w:bottom w:val="nil"/>
            </w:tcBorders>
            <w:noWrap/>
            <w:hideMark/>
          </w:tcPr>
          <w:p w14:paraId="10CC4903"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45</w:t>
            </w:r>
          </w:p>
        </w:tc>
        <w:tc>
          <w:tcPr>
            <w:tcW w:w="497" w:type="pct"/>
            <w:tcBorders>
              <w:top w:val="nil"/>
              <w:bottom w:val="nil"/>
            </w:tcBorders>
            <w:noWrap/>
            <w:hideMark/>
          </w:tcPr>
          <w:p w14:paraId="0819BD41"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60,00</w:t>
            </w:r>
          </w:p>
        </w:tc>
        <w:tc>
          <w:tcPr>
            <w:tcW w:w="408" w:type="pct"/>
            <w:tcBorders>
              <w:top w:val="nil"/>
              <w:bottom w:val="nil"/>
            </w:tcBorders>
            <w:noWrap/>
            <w:hideMark/>
          </w:tcPr>
          <w:p w14:paraId="5E7E0CD3"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20</w:t>
            </w:r>
          </w:p>
        </w:tc>
        <w:tc>
          <w:tcPr>
            <w:tcW w:w="400" w:type="pct"/>
            <w:tcBorders>
              <w:top w:val="nil"/>
              <w:bottom w:val="nil"/>
              <w:right w:val="nil"/>
            </w:tcBorders>
            <w:noWrap/>
            <w:hideMark/>
          </w:tcPr>
          <w:p w14:paraId="24BEECEC"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26,67</w:t>
            </w:r>
          </w:p>
        </w:tc>
      </w:tr>
      <w:tr w:rsidR="00C6016D" w:rsidRPr="00C6016D" w14:paraId="1DE8D01C" w14:textId="77777777" w:rsidTr="00E211E6">
        <w:trPr>
          <w:trHeight w:val="295"/>
        </w:trPr>
        <w:tc>
          <w:tcPr>
            <w:tcW w:w="2274" w:type="pct"/>
            <w:tcBorders>
              <w:top w:val="nil"/>
              <w:left w:val="nil"/>
            </w:tcBorders>
            <w:hideMark/>
          </w:tcPr>
          <w:p w14:paraId="0037422A"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Deducción y evaluación de conclusiones</w:t>
            </w:r>
          </w:p>
        </w:tc>
        <w:tc>
          <w:tcPr>
            <w:tcW w:w="440" w:type="pct"/>
            <w:tcBorders>
              <w:top w:val="nil"/>
            </w:tcBorders>
            <w:noWrap/>
            <w:hideMark/>
          </w:tcPr>
          <w:p w14:paraId="62F1F429"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14</w:t>
            </w:r>
          </w:p>
        </w:tc>
        <w:tc>
          <w:tcPr>
            <w:tcW w:w="458" w:type="pct"/>
            <w:tcBorders>
              <w:top w:val="nil"/>
            </w:tcBorders>
            <w:noWrap/>
            <w:hideMark/>
          </w:tcPr>
          <w:p w14:paraId="7730BDDB"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18,67</w:t>
            </w:r>
          </w:p>
        </w:tc>
        <w:tc>
          <w:tcPr>
            <w:tcW w:w="523" w:type="pct"/>
            <w:tcBorders>
              <w:top w:val="nil"/>
            </w:tcBorders>
            <w:noWrap/>
            <w:hideMark/>
          </w:tcPr>
          <w:p w14:paraId="23F0778B"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36</w:t>
            </w:r>
          </w:p>
        </w:tc>
        <w:tc>
          <w:tcPr>
            <w:tcW w:w="497" w:type="pct"/>
            <w:tcBorders>
              <w:top w:val="nil"/>
            </w:tcBorders>
            <w:noWrap/>
            <w:hideMark/>
          </w:tcPr>
          <w:p w14:paraId="5B26C212"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48,00</w:t>
            </w:r>
          </w:p>
        </w:tc>
        <w:tc>
          <w:tcPr>
            <w:tcW w:w="408" w:type="pct"/>
            <w:tcBorders>
              <w:top w:val="nil"/>
            </w:tcBorders>
            <w:noWrap/>
            <w:hideMark/>
          </w:tcPr>
          <w:p w14:paraId="78F01DAD"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25</w:t>
            </w:r>
          </w:p>
        </w:tc>
        <w:tc>
          <w:tcPr>
            <w:tcW w:w="400" w:type="pct"/>
            <w:tcBorders>
              <w:top w:val="nil"/>
              <w:right w:val="nil"/>
            </w:tcBorders>
            <w:noWrap/>
            <w:hideMark/>
          </w:tcPr>
          <w:p w14:paraId="2EAF80B1" w14:textId="77777777" w:rsidR="00C6016D" w:rsidRPr="00C6016D" w:rsidRDefault="00C6016D" w:rsidP="00C6016D">
            <w:pPr>
              <w:spacing w:after="0" w:line="360" w:lineRule="auto"/>
              <w:jc w:val="both"/>
              <w:rPr>
                <w:rFonts w:ascii="Times New Roman" w:hAnsi="Times New Roman"/>
                <w:bCs/>
                <w:sz w:val="24"/>
                <w:szCs w:val="24"/>
              </w:rPr>
            </w:pPr>
            <w:r w:rsidRPr="00C6016D">
              <w:rPr>
                <w:rFonts w:ascii="Times New Roman" w:hAnsi="Times New Roman"/>
                <w:bCs/>
                <w:sz w:val="24"/>
                <w:szCs w:val="24"/>
              </w:rPr>
              <w:t>33,33</w:t>
            </w:r>
          </w:p>
        </w:tc>
      </w:tr>
    </w:tbl>
    <w:p w14:paraId="0784726E"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i/>
          <w:sz w:val="24"/>
          <w:szCs w:val="24"/>
          <w:lang w:val="es-MX"/>
        </w:rPr>
        <w:t xml:space="preserve">Nota: </w:t>
      </w:r>
      <w:r w:rsidRPr="00C6016D">
        <w:rPr>
          <w:rFonts w:ascii="Times New Roman" w:hAnsi="Times New Roman"/>
          <w:bCs/>
          <w:sz w:val="24"/>
          <w:szCs w:val="24"/>
          <w:lang w:val="es-MX"/>
        </w:rPr>
        <w:t xml:space="preserve">Elaborada con los datos de </w:t>
      </w:r>
      <w:r w:rsidRPr="00C6016D">
        <w:rPr>
          <w:rFonts w:ascii="Times New Roman" w:hAnsi="Times New Roman"/>
          <w:bCs/>
          <w:sz w:val="24"/>
          <w:szCs w:val="24"/>
          <w:lang w:val="es-VE"/>
        </w:rPr>
        <w:t xml:space="preserve">la prueba estandarizada </w:t>
      </w:r>
      <w:r w:rsidRPr="00C6016D">
        <w:rPr>
          <w:rFonts w:ascii="Times New Roman" w:hAnsi="Times New Roman"/>
          <w:bCs/>
          <w:i/>
          <w:iCs/>
          <w:sz w:val="24"/>
          <w:szCs w:val="24"/>
          <w:lang w:val="es-VE"/>
        </w:rPr>
        <w:t xml:space="preserve">Watson-Glaser </w:t>
      </w:r>
      <w:proofErr w:type="spellStart"/>
      <w:r w:rsidRPr="00C6016D">
        <w:rPr>
          <w:rFonts w:ascii="Times New Roman" w:hAnsi="Times New Roman"/>
          <w:bCs/>
          <w:i/>
          <w:iCs/>
          <w:sz w:val="24"/>
          <w:szCs w:val="24"/>
          <w:lang w:val="es-VE"/>
        </w:rPr>
        <w:t>Critical</w:t>
      </w:r>
      <w:proofErr w:type="spellEnd"/>
      <w:r w:rsidRPr="00C6016D">
        <w:rPr>
          <w:rFonts w:ascii="Times New Roman" w:hAnsi="Times New Roman"/>
          <w:bCs/>
          <w:i/>
          <w:iCs/>
          <w:sz w:val="24"/>
          <w:szCs w:val="24"/>
          <w:lang w:val="es-VE"/>
        </w:rPr>
        <w:t xml:space="preserve"> </w:t>
      </w:r>
      <w:proofErr w:type="spellStart"/>
      <w:r w:rsidRPr="00C6016D">
        <w:rPr>
          <w:rFonts w:ascii="Times New Roman" w:hAnsi="Times New Roman"/>
          <w:bCs/>
          <w:i/>
          <w:iCs/>
          <w:sz w:val="24"/>
          <w:szCs w:val="24"/>
          <w:lang w:val="es-VE"/>
        </w:rPr>
        <w:t>Thinking</w:t>
      </w:r>
      <w:proofErr w:type="spellEnd"/>
      <w:r w:rsidRPr="00C6016D">
        <w:rPr>
          <w:rFonts w:ascii="Times New Roman" w:hAnsi="Times New Roman"/>
          <w:bCs/>
          <w:i/>
          <w:iCs/>
          <w:sz w:val="24"/>
          <w:szCs w:val="24"/>
          <w:lang w:val="es-VE"/>
        </w:rPr>
        <w:t xml:space="preserve"> </w:t>
      </w:r>
      <w:proofErr w:type="spellStart"/>
      <w:r w:rsidRPr="00C6016D">
        <w:rPr>
          <w:rFonts w:ascii="Times New Roman" w:hAnsi="Times New Roman"/>
          <w:bCs/>
          <w:i/>
          <w:iCs/>
          <w:sz w:val="24"/>
          <w:szCs w:val="24"/>
          <w:lang w:val="es-VE"/>
        </w:rPr>
        <w:t>Appraisal</w:t>
      </w:r>
      <w:proofErr w:type="spellEnd"/>
      <w:r w:rsidRPr="00C6016D">
        <w:rPr>
          <w:rFonts w:ascii="Times New Roman" w:hAnsi="Times New Roman"/>
          <w:bCs/>
          <w:sz w:val="24"/>
          <w:szCs w:val="24"/>
          <w:lang w:val="es-MX"/>
        </w:rPr>
        <w:t xml:space="preserve"> aplicada a los estudiantes universitarios. </w:t>
      </w:r>
    </w:p>
    <w:p w14:paraId="7F269889"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
          <w:bCs/>
          <w:sz w:val="24"/>
          <w:szCs w:val="24"/>
          <w:lang w:val="es-VE"/>
        </w:rPr>
        <w:t>Figura 6</w:t>
      </w:r>
    </w:p>
    <w:p w14:paraId="06B6B0EA"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Cs/>
          <w:i/>
          <w:sz w:val="24"/>
          <w:szCs w:val="24"/>
          <w:lang w:val="es-VE"/>
        </w:rPr>
        <w:t>Nivel de pensamiento crítico</w:t>
      </w:r>
    </w:p>
    <w:p w14:paraId="29ADBF46"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rPr>
        <w:drawing>
          <wp:inline distT="0" distB="0" distL="0" distR="0" wp14:anchorId="54003DCD" wp14:editId="284FB565">
            <wp:extent cx="5949950" cy="2209800"/>
            <wp:effectExtent l="0" t="0" r="1270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8FB819"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i/>
          <w:sz w:val="24"/>
          <w:szCs w:val="24"/>
          <w:lang w:val="es-MX"/>
        </w:rPr>
        <w:t xml:space="preserve">Nota: </w:t>
      </w:r>
      <w:r w:rsidRPr="00C6016D">
        <w:rPr>
          <w:rFonts w:ascii="Times New Roman" w:hAnsi="Times New Roman"/>
          <w:bCs/>
          <w:sz w:val="24"/>
          <w:szCs w:val="24"/>
          <w:lang w:val="es-MX"/>
        </w:rPr>
        <w:t xml:space="preserve">Elaborado con los datos de </w:t>
      </w:r>
      <w:r w:rsidRPr="00C6016D">
        <w:rPr>
          <w:rFonts w:ascii="Times New Roman" w:hAnsi="Times New Roman"/>
          <w:bCs/>
          <w:sz w:val="24"/>
          <w:szCs w:val="24"/>
          <w:lang w:val="es-VE"/>
        </w:rPr>
        <w:t xml:space="preserve">la prueba estandarizada </w:t>
      </w:r>
      <w:r w:rsidRPr="00C6016D">
        <w:rPr>
          <w:rFonts w:ascii="Times New Roman" w:hAnsi="Times New Roman"/>
          <w:bCs/>
          <w:i/>
          <w:iCs/>
          <w:sz w:val="24"/>
          <w:szCs w:val="24"/>
          <w:lang w:val="es-VE"/>
        </w:rPr>
        <w:t xml:space="preserve">Watson-Glaser </w:t>
      </w:r>
      <w:proofErr w:type="spellStart"/>
      <w:r w:rsidRPr="00C6016D">
        <w:rPr>
          <w:rFonts w:ascii="Times New Roman" w:hAnsi="Times New Roman"/>
          <w:bCs/>
          <w:i/>
          <w:iCs/>
          <w:sz w:val="24"/>
          <w:szCs w:val="24"/>
          <w:lang w:val="es-VE"/>
        </w:rPr>
        <w:t>Critical</w:t>
      </w:r>
      <w:proofErr w:type="spellEnd"/>
      <w:r w:rsidRPr="00C6016D">
        <w:rPr>
          <w:rFonts w:ascii="Times New Roman" w:hAnsi="Times New Roman"/>
          <w:bCs/>
          <w:i/>
          <w:iCs/>
          <w:sz w:val="24"/>
          <w:szCs w:val="24"/>
          <w:lang w:val="es-VE"/>
        </w:rPr>
        <w:t xml:space="preserve"> </w:t>
      </w:r>
      <w:proofErr w:type="spellStart"/>
      <w:r w:rsidRPr="00C6016D">
        <w:rPr>
          <w:rFonts w:ascii="Times New Roman" w:hAnsi="Times New Roman"/>
          <w:bCs/>
          <w:i/>
          <w:iCs/>
          <w:sz w:val="24"/>
          <w:szCs w:val="24"/>
          <w:lang w:val="es-VE"/>
        </w:rPr>
        <w:t>Thinking</w:t>
      </w:r>
      <w:proofErr w:type="spellEnd"/>
      <w:r w:rsidRPr="00C6016D">
        <w:rPr>
          <w:rFonts w:ascii="Times New Roman" w:hAnsi="Times New Roman"/>
          <w:bCs/>
          <w:i/>
          <w:iCs/>
          <w:sz w:val="24"/>
          <w:szCs w:val="24"/>
          <w:lang w:val="es-VE"/>
        </w:rPr>
        <w:t xml:space="preserve"> </w:t>
      </w:r>
      <w:proofErr w:type="spellStart"/>
      <w:r w:rsidRPr="00C6016D">
        <w:rPr>
          <w:rFonts w:ascii="Times New Roman" w:hAnsi="Times New Roman"/>
          <w:bCs/>
          <w:i/>
          <w:iCs/>
          <w:sz w:val="24"/>
          <w:szCs w:val="24"/>
          <w:lang w:val="es-VE"/>
        </w:rPr>
        <w:t>Appraisal</w:t>
      </w:r>
      <w:proofErr w:type="spellEnd"/>
      <w:r w:rsidRPr="00C6016D">
        <w:rPr>
          <w:rFonts w:ascii="Times New Roman" w:hAnsi="Times New Roman"/>
          <w:bCs/>
          <w:sz w:val="24"/>
          <w:szCs w:val="24"/>
          <w:lang w:val="es-MX"/>
        </w:rPr>
        <w:t xml:space="preserve"> aplicada a los estudiantes universitarios. </w:t>
      </w:r>
    </w:p>
    <w:p w14:paraId="69965E7D"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Los resultados mostrados en la Tabla 1 y la Figura 6, indican que la mayoría de los estudiantes se encuentra en un nivel medio de desempeño en todas las dimensiones evaluadas, lo que sugiere que poseen habilidades críticas funcionales, aunque todavía hay margen para mejorar su capacidad analítica.</w:t>
      </w:r>
    </w:p>
    <w:p w14:paraId="48B3BF38"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En el área de inferencias lógicas, el 56% se posiciona en el rango medio, mientras que un 28% alcanza un nivel alto, lo que implica que más de una cuarta parte de los estudiantes es capaz de formular conclusiones razonadas a partir de evidencias. Respecto al reconocimiento de supuestos, un 24% se sitúa en el nivel bajo, lo que pone de manifiesto las dificultades para identificar premisas implícitas en los argumentos. Esta dimensión representa un aspecto crucial que debe ser abordado a través de metodologías reflexivas.</w:t>
      </w:r>
    </w:p>
    <w:p w14:paraId="32BBB112" w14:textId="77777777" w:rsidR="00C6016D" w:rsidRPr="00C6016D" w:rsidRDefault="00C6016D" w:rsidP="00C6016D">
      <w:pPr>
        <w:spacing w:after="0" w:line="360" w:lineRule="auto"/>
        <w:jc w:val="both"/>
        <w:rPr>
          <w:rFonts w:ascii="Times New Roman" w:hAnsi="Times New Roman"/>
          <w:bCs/>
          <w:sz w:val="24"/>
          <w:szCs w:val="24"/>
          <w:lang w:val="es-MX"/>
        </w:rPr>
      </w:pPr>
      <w:r w:rsidRPr="00C6016D">
        <w:rPr>
          <w:rFonts w:ascii="Times New Roman" w:hAnsi="Times New Roman"/>
          <w:bCs/>
          <w:sz w:val="24"/>
          <w:szCs w:val="24"/>
          <w:lang w:val="es-MX"/>
        </w:rPr>
        <w:t>Por otro lado, en la dimensión de argumentación, se observa que el 60% presenta un desempeño medio, y casi el 27% destaca por su capacidad para construir y evaluar razonamientos sólidos, lo que refleja un potencial significativo en esta competencia. Finalmente, en lo que respecta a la deducción y evaluación de conclusiones, se evidencia que el 33.3% se encuentra en el nivel alto, la proporción más alta entre todas las dimensiones, lo que resalta la habilidad de los estudiantes para analizar ideas complejas y emitir juicios fundamentados. Esta fortaleza puede ser utilizada como base para continuar profundizando en el desarrollo del pensamiento crítico. En conjunto, los datos respaldan la relevancia de integrar tecnologías como la inteligencia generativa para fomentar estas habilidades desde una perspectiva pedagógica.</w:t>
      </w:r>
    </w:p>
    <w:p w14:paraId="6584BE54"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
          <w:bCs/>
          <w:sz w:val="24"/>
          <w:szCs w:val="24"/>
          <w:lang w:val="es-VE"/>
        </w:rPr>
        <w:t>Correlación entre Uso de IA Generativa y Pensamiento Crítico</w:t>
      </w:r>
    </w:p>
    <w:p w14:paraId="30867E99"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Al aplicar la prueba estadística de correlación de Pearson, se obtuvo un coeficiente r = 0.63 lo cual sugiere una correlación positiva moderada-alta entre el uso de herramientas de inteligencia generativa y el nivel de pensamiento crítico. Esto implica que, a medida que aumenta la frecuencia y profundidad en el uso académico de estas tecnologías, también se incrementa la tendencia a desarrollar habilidades críticas en los estudiantes, tales como inferencias lógicas, reconocimiento de supuestos y argumentación sólida.</w:t>
      </w:r>
    </w:p>
    <w:p w14:paraId="32B38481"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Este resultado es coherente con los hallazgos previos del cuestionario, donde más del 60% de los estudiantes indicó que sus habilidades críticas habían mejorado notablemente con el uso de inteligencia generativa. Además, la prueba Watson-Glaser reveló que la mayoría de los estudiantes se encuentra en niveles medios y altos en las dimensiones del pensamiento crítico, lo que respalda la correlación positiva. Aunque no se trata de una relación perfecta (r ≠ 1), sí permite deducir que estas tecnologías pueden jugar un papel activo en el fortalecimiento cognitivo de los jóvenes universitarios.</w:t>
      </w:r>
    </w:p>
    <w:p w14:paraId="2BEF294C" w14:textId="77777777" w:rsidR="00C6016D" w:rsidRPr="00C6016D" w:rsidRDefault="00C6016D" w:rsidP="00C6016D">
      <w:pPr>
        <w:spacing w:after="0" w:line="360" w:lineRule="auto"/>
        <w:jc w:val="both"/>
        <w:rPr>
          <w:rFonts w:ascii="Times New Roman" w:hAnsi="Times New Roman"/>
          <w:b/>
          <w:bCs/>
          <w:sz w:val="24"/>
          <w:szCs w:val="24"/>
          <w:lang w:val="es-VE"/>
        </w:rPr>
      </w:pPr>
      <w:r w:rsidRPr="00C6016D">
        <w:rPr>
          <w:rFonts w:ascii="Times New Roman" w:hAnsi="Times New Roman"/>
          <w:b/>
          <w:bCs/>
          <w:sz w:val="24"/>
          <w:szCs w:val="24"/>
          <w:lang w:val="es-VE"/>
        </w:rPr>
        <w:t>Conclusiones</w:t>
      </w:r>
    </w:p>
    <w:p w14:paraId="111019AF"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La presente investigación logró evidenciar que el uso de herramientas de inteligencia generativa mantiene una relación reveladora con el desarrollo del pensamiento crítico en estudiantes universitarios de la provincia de Manabí. En este sentido, existe una correlación significativa entre el uso académico de inteligencia generativa y el pensamiento crítico pues los resultados indican que los estudiantes que utilizan herramientas de IA generativa con fines educativos tienden a obtener puntajes más altos en pruebas de pensamiento crítico, lo que posiciona a estas tecnologías como catalizadores del desarrollo cognitivo.</w:t>
      </w:r>
    </w:p>
    <w:p w14:paraId="31B61695"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El pensamiento crítico se refuerza mediante el uso reflexivo y dirigido de la IA. La investigación indica que el uso consciente y guiado de estas herramientas mejora habilidades como la inferencia lógica, el análisis de argumentos y la identificación de sesgos, en comparación con un uso superficial o mecánico. Estas tecnologías, cuando se incorporan desde una perspectiva pedagógica estratégica, se transforman en aliadas para el desarrollo de una postura intelectual activa; además, fomentan la participación crítica en procesos cognitivos complejos, promoviendo una formación más autónoma y rigurosa.</w:t>
      </w:r>
    </w:p>
    <w:p w14:paraId="318D1AF6"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La intencionalidad pedagógica en la utilización de la IA impacta de manera directa en el rendimiento crítico. El objetivo con el que se aplica la tecnología define sus efectos: los estudiantes que incorporan la IA como apoyo en la investigación o en procesos analíticos evidencian un mayor avance que aquellos que la utilizan únicamente para facilitar tareas; esta variación se debe al tipo de interacción cognitiva que se establece: mientras algunos promueven un diálogo reflexivo con la herramienta, otros restringen su uso a la automatización de funciones sin una mayor profundidad conceptual. Por lo tanto, el diseño de estrategias educativas que fomenten un uso consciente, crítico y contextualizado de estas tecnologías es esencial para lograr un aprendizaje verdaderamente significativo.</w:t>
      </w:r>
    </w:p>
    <w:p w14:paraId="0D501820" w14:textId="77777777" w:rsidR="00C6016D" w:rsidRPr="00C6016D" w:rsidRDefault="00C6016D" w:rsidP="00C6016D">
      <w:pPr>
        <w:spacing w:after="0" w:line="360" w:lineRule="auto"/>
        <w:jc w:val="both"/>
        <w:rPr>
          <w:rFonts w:ascii="Times New Roman" w:hAnsi="Times New Roman"/>
          <w:bCs/>
          <w:sz w:val="24"/>
          <w:szCs w:val="24"/>
          <w:lang w:val="es-VE"/>
        </w:rPr>
      </w:pPr>
      <w:r w:rsidRPr="00C6016D">
        <w:rPr>
          <w:rFonts w:ascii="Times New Roman" w:hAnsi="Times New Roman"/>
          <w:bCs/>
          <w:sz w:val="24"/>
          <w:szCs w:val="24"/>
          <w:lang w:val="es-VE"/>
        </w:rPr>
        <w:t>Las tecnologías generativas tienen un gran potencial como herramientas para una educación integral, pues más allá de su funcionalidad operativa, las herramientas de inteligencia artificial pueden promover entornos de aprendizaje que se fundamentan en la reflexión, la creatividad y el pensamiento complejo, convirtiéndose en recursos complementarios dentro de los programas educativos. Al integrarse de manera estratégica, estas tecnologías no solo facilitan el acceso a la información, sino que también fomentan procesos formativos orientados a la construcción activa del conocimiento; en este contexto, su uso pedagógico puede contribuir de manera significativa al desarrollo de competencias transversales que preparan a los estudiantes para enfrentar los retos de una sociedad digital en constante evolución.</w:t>
      </w:r>
    </w:p>
    <w:p w14:paraId="12040366" w14:textId="1156FF56" w:rsidR="00722321" w:rsidRPr="00722321" w:rsidRDefault="00C6016D" w:rsidP="00C6016D">
      <w:pPr>
        <w:spacing w:after="0" w:line="360" w:lineRule="auto"/>
        <w:jc w:val="both"/>
        <w:rPr>
          <w:rFonts w:ascii="Times New Roman" w:hAnsi="Times New Roman"/>
          <w:bCs/>
          <w:sz w:val="24"/>
          <w:szCs w:val="24"/>
          <w:lang w:val="es-ES"/>
        </w:rPr>
      </w:pPr>
      <w:r w:rsidRPr="00C6016D">
        <w:rPr>
          <w:rFonts w:ascii="Times New Roman" w:hAnsi="Times New Roman"/>
          <w:bCs/>
          <w:sz w:val="24"/>
          <w:szCs w:val="24"/>
          <w:lang w:val="es-VE"/>
        </w:rPr>
        <w:t>El proceso de apropiación tecnológica fomenta la autonomía intelectual; los estudiantes que se familiarizan de manera crítica con el funcionamiento y las limitaciones de la inteligencia artificial desarrollan una actitud más activa y autónoma hacia el conocimiento, lo que se traduce en una mayor capacidad de cuestionamiento y discernimiento. Esta actitud también refuerza su habilidad para identificar sesgos, evaluar fuentes de información y tomar decisiones fundamentadas en contextos complejos; de este modo, la tecnología deja de ser un simple facilitador para transformarse en un catalizador del pensamiento independiente y ético, alineado con los objetivos de una educación transformadora</w:t>
      </w:r>
      <w:r>
        <w:rPr>
          <w:rFonts w:ascii="Times New Roman" w:hAnsi="Times New Roman"/>
          <w:bCs/>
          <w:sz w:val="24"/>
          <w:szCs w:val="24"/>
          <w:lang w:val="es-VE"/>
        </w:rPr>
        <w:t>.</w:t>
      </w:r>
    </w:p>
    <w:p w14:paraId="76914A5E" w14:textId="42AE9555" w:rsidR="005719AB" w:rsidRPr="00656C3B" w:rsidRDefault="005719AB" w:rsidP="001D05FC">
      <w:pPr>
        <w:spacing w:after="0" w:line="360" w:lineRule="auto"/>
        <w:jc w:val="both"/>
        <w:rPr>
          <w:rFonts w:ascii="Times New Roman" w:hAnsi="Times New Roman"/>
          <w:bCs/>
          <w:sz w:val="24"/>
          <w:szCs w:val="24"/>
          <w:lang w:val="es-ES"/>
        </w:rPr>
      </w:pPr>
    </w:p>
    <w:p w14:paraId="7D252797" w14:textId="718E09F2" w:rsidR="000B1916" w:rsidRDefault="000B1916" w:rsidP="00251DF0">
      <w:pPr>
        <w:spacing w:after="0" w:line="360" w:lineRule="auto"/>
        <w:jc w:val="both"/>
        <w:rPr>
          <w:rFonts w:ascii="Times New Roman" w:hAnsi="Times New Roman"/>
          <w:b/>
          <w:sz w:val="24"/>
          <w:szCs w:val="24"/>
          <w:lang w:val="es-ES"/>
        </w:rPr>
      </w:pPr>
    </w:p>
    <w:p w14:paraId="71206EF7" w14:textId="044DE2DC" w:rsidR="0078274E" w:rsidRDefault="0078274E" w:rsidP="00251DF0">
      <w:pPr>
        <w:spacing w:after="0" w:line="360" w:lineRule="auto"/>
        <w:jc w:val="both"/>
        <w:rPr>
          <w:rFonts w:ascii="Times New Roman" w:hAnsi="Times New Roman"/>
          <w:b/>
          <w:sz w:val="24"/>
          <w:szCs w:val="24"/>
          <w:lang w:val="es-ES"/>
        </w:rPr>
      </w:pPr>
    </w:p>
    <w:p w14:paraId="3B04BF67" w14:textId="402FB613" w:rsidR="0078274E" w:rsidRDefault="0078274E" w:rsidP="00251DF0">
      <w:pPr>
        <w:spacing w:after="0" w:line="360" w:lineRule="auto"/>
        <w:jc w:val="both"/>
        <w:rPr>
          <w:rFonts w:ascii="Times New Roman" w:hAnsi="Times New Roman"/>
          <w:b/>
          <w:sz w:val="24"/>
          <w:szCs w:val="24"/>
          <w:lang w:val="es-ES"/>
        </w:rPr>
      </w:pPr>
    </w:p>
    <w:p w14:paraId="0168C0B6" w14:textId="2AB5B65F" w:rsidR="0078274E" w:rsidRDefault="0078274E" w:rsidP="00251DF0">
      <w:pPr>
        <w:spacing w:after="0" w:line="360" w:lineRule="auto"/>
        <w:jc w:val="both"/>
        <w:rPr>
          <w:rFonts w:ascii="Times New Roman" w:hAnsi="Times New Roman"/>
          <w:b/>
          <w:sz w:val="24"/>
          <w:szCs w:val="24"/>
          <w:lang w:val="es-ES"/>
        </w:rPr>
      </w:pPr>
    </w:p>
    <w:p w14:paraId="18223375" w14:textId="731CBF6B" w:rsidR="0078274E" w:rsidRDefault="0078274E" w:rsidP="00251DF0">
      <w:pPr>
        <w:spacing w:after="0" w:line="360" w:lineRule="auto"/>
        <w:jc w:val="both"/>
        <w:rPr>
          <w:rFonts w:ascii="Times New Roman" w:hAnsi="Times New Roman"/>
          <w:b/>
          <w:sz w:val="24"/>
          <w:szCs w:val="24"/>
          <w:lang w:val="es-ES"/>
        </w:rPr>
      </w:pPr>
    </w:p>
    <w:p w14:paraId="30E85F00" w14:textId="5D914D41" w:rsidR="0078274E" w:rsidRDefault="0078274E" w:rsidP="00251DF0">
      <w:pPr>
        <w:spacing w:after="0" w:line="360" w:lineRule="auto"/>
        <w:jc w:val="both"/>
        <w:rPr>
          <w:rFonts w:ascii="Times New Roman" w:hAnsi="Times New Roman"/>
          <w:b/>
          <w:sz w:val="24"/>
          <w:szCs w:val="24"/>
          <w:lang w:val="es-ES"/>
        </w:rPr>
      </w:pPr>
    </w:p>
    <w:p w14:paraId="2A4D90AE" w14:textId="7CB4236C" w:rsidR="0078274E" w:rsidRDefault="0078274E" w:rsidP="00251DF0">
      <w:pPr>
        <w:spacing w:after="0" w:line="360" w:lineRule="auto"/>
        <w:jc w:val="both"/>
        <w:rPr>
          <w:rFonts w:ascii="Times New Roman" w:hAnsi="Times New Roman"/>
          <w:b/>
          <w:sz w:val="24"/>
          <w:szCs w:val="24"/>
          <w:lang w:val="es-ES"/>
        </w:rPr>
      </w:pPr>
    </w:p>
    <w:p w14:paraId="25BFD9A0" w14:textId="4C0C9E79" w:rsidR="0078274E" w:rsidRDefault="0078274E" w:rsidP="00251DF0">
      <w:pPr>
        <w:spacing w:after="0" w:line="360" w:lineRule="auto"/>
        <w:jc w:val="both"/>
        <w:rPr>
          <w:rFonts w:ascii="Times New Roman" w:hAnsi="Times New Roman"/>
          <w:b/>
          <w:sz w:val="24"/>
          <w:szCs w:val="24"/>
          <w:lang w:val="es-ES"/>
        </w:rPr>
      </w:pPr>
    </w:p>
    <w:p w14:paraId="1B286F83" w14:textId="794AA91D" w:rsidR="0078274E" w:rsidRDefault="0078274E" w:rsidP="00251DF0">
      <w:pPr>
        <w:spacing w:after="0" w:line="360" w:lineRule="auto"/>
        <w:jc w:val="both"/>
        <w:rPr>
          <w:rFonts w:ascii="Times New Roman" w:hAnsi="Times New Roman"/>
          <w:b/>
          <w:sz w:val="24"/>
          <w:szCs w:val="24"/>
          <w:lang w:val="es-ES"/>
        </w:rPr>
      </w:pPr>
    </w:p>
    <w:p w14:paraId="4046A40A" w14:textId="710FD9B0" w:rsidR="0078274E" w:rsidRDefault="0078274E" w:rsidP="00251DF0">
      <w:pPr>
        <w:spacing w:after="0" w:line="360" w:lineRule="auto"/>
        <w:jc w:val="both"/>
        <w:rPr>
          <w:rFonts w:ascii="Times New Roman" w:hAnsi="Times New Roman"/>
          <w:b/>
          <w:sz w:val="24"/>
          <w:szCs w:val="24"/>
          <w:lang w:val="es-ES"/>
        </w:rPr>
      </w:pPr>
    </w:p>
    <w:p w14:paraId="081F2EC6" w14:textId="3FFB8AA6" w:rsidR="0078274E" w:rsidRDefault="0078274E" w:rsidP="00251DF0">
      <w:pPr>
        <w:spacing w:after="0" w:line="360" w:lineRule="auto"/>
        <w:jc w:val="both"/>
        <w:rPr>
          <w:rFonts w:ascii="Times New Roman" w:hAnsi="Times New Roman"/>
          <w:b/>
          <w:sz w:val="24"/>
          <w:szCs w:val="24"/>
          <w:lang w:val="es-ES"/>
        </w:rPr>
      </w:pPr>
    </w:p>
    <w:p w14:paraId="3002D999" w14:textId="78628D82" w:rsidR="00D709E2" w:rsidRDefault="00D709E2" w:rsidP="00251DF0">
      <w:pPr>
        <w:spacing w:after="0" w:line="360" w:lineRule="auto"/>
        <w:jc w:val="both"/>
        <w:rPr>
          <w:rFonts w:ascii="Times New Roman" w:hAnsi="Times New Roman"/>
          <w:b/>
          <w:sz w:val="24"/>
          <w:szCs w:val="24"/>
          <w:lang w:val="es-ES"/>
        </w:rPr>
      </w:pPr>
    </w:p>
    <w:p w14:paraId="77DBA6A4" w14:textId="4094C981" w:rsidR="00D709E2" w:rsidRDefault="00D709E2" w:rsidP="00251DF0">
      <w:pPr>
        <w:spacing w:after="0" w:line="360" w:lineRule="auto"/>
        <w:jc w:val="both"/>
        <w:rPr>
          <w:rFonts w:ascii="Times New Roman" w:hAnsi="Times New Roman"/>
          <w:b/>
          <w:sz w:val="24"/>
          <w:szCs w:val="24"/>
          <w:lang w:val="es-ES"/>
        </w:rPr>
      </w:pPr>
    </w:p>
    <w:p w14:paraId="2703314E" w14:textId="40875634" w:rsidR="00D709E2" w:rsidRDefault="00D709E2" w:rsidP="00251DF0">
      <w:pPr>
        <w:spacing w:after="0" w:line="360" w:lineRule="auto"/>
        <w:jc w:val="both"/>
        <w:rPr>
          <w:rFonts w:ascii="Times New Roman" w:hAnsi="Times New Roman"/>
          <w:b/>
          <w:sz w:val="24"/>
          <w:szCs w:val="24"/>
          <w:lang w:val="es-ES"/>
        </w:rPr>
      </w:pPr>
    </w:p>
    <w:p w14:paraId="1A565A47" w14:textId="2C651577" w:rsidR="0078274E" w:rsidRDefault="0078274E" w:rsidP="00251DF0">
      <w:pPr>
        <w:spacing w:after="0" w:line="360" w:lineRule="auto"/>
        <w:jc w:val="both"/>
        <w:rPr>
          <w:rFonts w:ascii="Times New Roman" w:hAnsi="Times New Roman"/>
          <w:b/>
          <w:sz w:val="24"/>
          <w:szCs w:val="24"/>
          <w:lang w:val="es-ES"/>
        </w:rPr>
      </w:pPr>
    </w:p>
    <w:p w14:paraId="3CF53865" w14:textId="77777777" w:rsidR="00C6016D" w:rsidRDefault="00C6016D" w:rsidP="00251DF0">
      <w:pPr>
        <w:spacing w:after="0" w:line="360" w:lineRule="auto"/>
        <w:jc w:val="both"/>
        <w:rPr>
          <w:rFonts w:ascii="Times New Roman" w:hAnsi="Times New Roman"/>
          <w:b/>
          <w:sz w:val="24"/>
          <w:szCs w:val="24"/>
          <w:lang w:val="es-ES"/>
        </w:rPr>
      </w:pPr>
    </w:p>
    <w:p w14:paraId="2544EBF0" w14:textId="4775615E" w:rsidR="00C82CB7" w:rsidRDefault="00251DF0" w:rsidP="00251DF0">
      <w:pPr>
        <w:spacing w:after="0" w:line="360" w:lineRule="auto"/>
        <w:jc w:val="both"/>
        <w:rPr>
          <w:rFonts w:ascii="Times New Roman" w:hAnsi="Times New Roman"/>
          <w:b/>
          <w:sz w:val="24"/>
          <w:szCs w:val="24"/>
          <w:lang w:val="es-ES"/>
        </w:rPr>
      </w:pPr>
      <w:r w:rsidRPr="00887FA8">
        <w:rPr>
          <w:rFonts w:ascii="Times New Roman" w:hAnsi="Times New Roman"/>
          <w:b/>
          <w:sz w:val="24"/>
          <w:szCs w:val="24"/>
          <w:lang w:val="es-ES"/>
        </w:rPr>
        <w:t>Referencias</w:t>
      </w:r>
    </w:p>
    <w:sdt>
      <w:sdtPr>
        <w:rPr>
          <w:rFonts w:ascii="Times New Roman" w:hAnsi="Times New Roman"/>
          <w:bCs/>
          <w:sz w:val="24"/>
          <w:szCs w:val="24"/>
        </w:rPr>
        <w:id w:val="111145805"/>
        <w:bibliography/>
      </w:sdtPr>
      <w:sdtEndPr/>
      <w:sdtContent>
        <w:p w14:paraId="0B9B83AF" w14:textId="77777777" w:rsidR="00C6016D" w:rsidRPr="00C6016D" w:rsidRDefault="00C6016D" w:rsidP="00C6016D">
          <w:pPr>
            <w:spacing w:after="0" w:line="360" w:lineRule="auto"/>
            <w:ind w:left="720" w:hanging="720"/>
            <w:jc w:val="both"/>
            <w:rPr>
              <w:rFonts w:ascii="Times New Roman" w:hAnsi="Times New Roman"/>
              <w:bCs/>
              <w:sz w:val="24"/>
              <w:szCs w:val="24"/>
            </w:rPr>
          </w:pPr>
          <w:proofErr w:type="spellStart"/>
          <w:r w:rsidRPr="00C6016D">
            <w:rPr>
              <w:rFonts w:ascii="Times New Roman" w:hAnsi="Times New Roman"/>
              <w:bCs/>
              <w:sz w:val="24"/>
              <w:szCs w:val="24"/>
            </w:rPr>
            <w:t>Atencio</w:t>
          </w:r>
          <w:proofErr w:type="spellEnd"/>
          <w:r w:rsidRPr="00C6016D">
            <w:rPr>
              <w:rFonts w:ascii="Times New Roman" w:hAnsi="Times New Roman"/>
              <w:bCs/>
              <w:sz w:val="24"/>
              <w:szCs w:val="24"/>
            </w:rPr>
            <w:t xml:space="preserve">, R., Bonilla, D., Miles, M., &amp; López, S. (2023). Chat GPT como Recurso para el Aprendizaje del Pensamiento Crítico en Estudiantes Universitarios. </w:t>
          </w:r>
          <w:proofErr w:type="spellStart"/>
          <w:r w:rsidRPr="00C6016D">
            <w:rPr>
              <w:rFonts w:ascii="Times New Roman" w:hAnsi="Times New Roman"/>
              <w:bCs/>
              <w:sz w:val="24"/>
              <w:szCs w:val="24"/>
            </w:rPr>
            <w:t>Cienciamatria</w:t>
          </w:r>
          <w:proofErr w:type="spellEnd"/>
          <w:r w:rsidRPr="00C6016D">
            <w:rPr>
              <w:rFonts w:ascii="Times New Roman" w:hAnsi="Times New Roman"/>
              <w:bCs/>
              <w:sz w:val="24"/>
              <w:szCs w:val="24"/>
            </w:rPr>
            <w:t>. Revista Interdisciplinaria de Humanidades, Educación, Ciencia y Tecnología, 9(17), pp. 36-44. https://doi.org/10.35381/cm.v9i17.1121</w:t>
          </w:r>
        </w:p>
        <w:p w14:paraId="68179535" w14:textId="77777777" w:rsidR="00C6016D" w:rsidRPr="00C6016D" w:rsidRDefault="00C6016D" w:rsidP="00C6016D">
          <w:pPr>
            <w:spacing w:after="0" w:line="360" w:lineRule="auto"/>
            <w:ind w:left="720" w:hanging="720"/>
            <w:jc w:val="both"/>
            <w:rPr>
              <w:rFonts w:ascii="Times New Roman" w:hAnsi="Times New Roman"/>
              <w:bCs/>
              <w:sz w:val="24"/>
              <w:szCs w:val="24"/>
            </w:rPr>
          </w:pPr>
          <w:r w:rsidRPr="00C6016D">
            <w:rPr>
              <w:rFonts w:ascii="Times New Roman" w:hAnsi="Times New Roman"/>
              <w:bCs/>
              <w:sz w:val="24"/>
              <w:szCs w:val="24"/>
            </w:rPr>
            <w:t xml:space="preserve">Ennis, R. (2015). </w:t>
          </w:r>
          <w:proofErr w:type="spellStart"/>
          <w:r w:rsidRPr="00C6016D">
            <w:rPr>
              <w:rFonts w:ascii="Times New Roman" w:hAnsi="Times New Roman"/>
              <w:bCs/>
              <w:sz w:val="24"/>
              <w:szCs w:val="24"/>
            </w:rPr>
            <w:t>Critical</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thinking</w:t>
          </w:r>
          <w:proofErr w:type="spellEnd"/>
          <w:r w:rsidRPr="00C6016D">
            <w:rPr>
              <w:rFonts w:ascii="Times New Roman" w:hAnsi="Times New Roman"/>
              <w:bCs/>
              <w:sz w:val="24"/>
              <w:szCs w:val="24"/>
            </w:rPr>
            <w:t xml:space="preserve">: A </w:t>
          </w:r>
          <w:proofErr w:type="spellStart"/>
          <w:r w:rsidRPr="00C6016D">
            <w:rPr>
              <w:rFonts w:ascii="Times New Roman" w:hAnsi="Times New Roman"/>
              <w:bCs/>
              <w:sz w:val="24"/>
              <w:szCs w:val="24"/>
            </w:rPr>
            <w:t>streamlined</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conception</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Critical</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Thinking</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Across</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the</w:t>
          </w:r>
          <w:proofErr w:type="spellEnd"/>
          <w:r w:rsidRPr="00C6016D">
            <w:rPr>
              <w:rFonts w:ascii="Times New Roman" w:hAnsi="Times New Roman"/>
              <w:bCs/>
              <w:sz w:val="24"/>
              <w:szCs w:val="24"/>
            </w:rPr>
            <w:t xml:space="preserve"> Disciplines, 26(2), 5–12 DOI:10.1057/9781137378057.0005</w:t>
          </w:r>
        </w:p>
        <w:p w14:paraId="6BC3FAC7" w14:textId="77777777" w:rsidR="00C6016D" w:rsidRPr="00C6016D" w:rsidRDefault="00C6016D" w:rsidP="00C6016D">
          <w:pPr>
            <w:spacing w:after="0" w:line="360" w:lineRule="auto"/>
            <w:ind w:left="720" w:hanging="720"/>
            <w:jc w:val="both"/>
            <w:rPr>
              <w:rFonts w:ascii="Times New Roman" w:hAnsi="Times New Roman"/>
              <w:bCs/>
              <w:sz w:val="24"/>
              <w:szCs w:val="24"/>
            </w:rPr>
          </w:pPr>
          <w:r w:rsidRPr="00C6016D">
            <w:rPr>
              <w:rFonts w:ascii="Times New Roman" w:hAnsi="Times New Roman"/>
              <w:bCs/>
              <w:sz w:val="24"/>
              <w:szCs w:val="24"/>
            </w:rPr>
            <w:t xml:space="preserve">Facione, P.  (2011). </w:t>
          </w:r>
          <w:proofErr w:type="spellStart"/>
          <w:r w:rsidRPr="00C6016D">
            <w:rPr>
              <w:rFonts w:ascii="Times New Roman" w:hAnsi="Times New Roman"/>
              <w:bCs/>
              <w:sz w:val="24"/>
              <w:szCs w:val="24"/>
            </w:rPr>
            <w:t>Critical</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Thinking</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What</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It</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Is</w:t>
          </w:r>
          <w:proofErr w:type="spellEnd"/>
          <w:r w:rsidRPr="00C6016D">
            <w:rPr>
              <w:rFonts w:ascii="Times New Roman" w:hAnsi="Times New Roman"/>
              <w:bCs/>
              <w:sz w:val="24"/>
              <w:szCs w:val="24"/>
            </w:rPr>
            <w:t xml:space="preserve"> and </w:t>
          </w:r>
          <w:proofErr w:type="spellStart"/>
          <w:r w:rsidRPr="00C6016D">
            <w:rPr>
              <w:rFonts w:ascii="Times New Roman" w:hAnsi="Times New Roman"/>
              <w:bCs/>
              <w:sz w:val="24"/>
              <w:szCs w:val="24"/>
            </w:rPr>
            <w:t>Why</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It</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Counts</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Insight</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Assessment</w:t>
          </w:r>
          <w:proofErr w:type="spellEnd"/>
          <w:r w:rsidRPr="00C6016D">
            <w:rPr>
              <w:rFonts w:ascii="Times New Roman" w:hAnsi="Times New Roman"/>
              <w:bCs/>
              <w:sz w:val="24"/>
              <w:szCs w:val="24"/>
            </w:rPr>
            <w:t xml:space="preserve"> https://www.researchgate.net/publication/251303244_Critical_Thinking_What_It_Is_and_Why_It_Counts</w:t>
          </w:r>
        </w:p>
        <w:p w14:paraId="58788D0B" w14:textId="77777777" w:rsidR="00C6016D" w:rsidRPr="00C6016D" w:rsidRDefault="00C6016D" w:rsidP="00C6016D">
          <w:pPr>
            <w:spacing w:after="0" w:line="360" w:lineRule="auto"/>
            <w:ind w:left="720" w:hanging="720"/>
            <w:jc w:val="both"/>
            <w:rPr>
              <w:rFonts w:ascii="Times New Roman" w:hAnsi="Times New Roman"/>
              <w:bCs/>
              <w:sz w:val="24"/>
              <w:szCs w:val="24"/>
            </w:rPr>
          </w:pPr>
          <w:r w:rsidRPr="00C6016D">
            <w:rPr>
              <w:rFonts w:ascii="Times New Roman" w:hAnsi="Times New Roman"/>
              <w:bCs/>
              <w:sz w:val="24"/>
              <w:szCs w:val="24"/>
            </w:rPr>
            <w:t>Giannini, S. (2023). La inteligencia artificial generativa en la educación: Documento de reflexión. UNESCO. https://www.unesco.org/es/articles/la-inteligencia-artificial-generativa-en-la-educacion-documento-de-reflexion-de-sra-stefania</w:t>
          </w:r>
        </w:p>
        <w:p w14:paraId="23C7B671" w14:textId="77777777" w:rsidR="00C6016D" w:rsidRPr="00C6016D" w:rsidRDefault="00C6016D" w:rsidP="00C6016D">
          <w:pPr>
            <w:spacing w:after="0" w:line="360" w:lineRule="auto"/>
            <w:ind w:left="720" w:hanging="720"/>
            <w:jc w:val="both"/>
            <w:rPr>
              <w:rFonts w:ascii="Times New Roman" w:hAnsi="Times New Roman"/>
              <w:bCs/>
              <w:sz w:val="24"/>
              <w:szCs w:val="24"/>
            </w:rPr>
          </w:pPr>
          <w:r w:rsidRPr="00C6016D">
            <w:rPr>
              <w:rFonts w:ascii="Times New Roman" w:hAnsi="Times New Roman"/>
              <w:bCs/>
              <w:sz w:val="24"/>
              <w:szCs w:val="24"/>
            </w:rPr>
            <w:t>Guzmán, T. (2025). IA en la universidad: usos éticos, riesgos y recomendaciones. Listín Diario. https://listindiario.com/la-vida/20250715/ia-universidad-usos-eticos-riesgos-recomendaciones_865912.html</w:t>
          </w:r>
        </w:p>
        <w:p w14:paraId="3FAEBF8E" w14:textId="77777777" w:rsidR="00C6016D" w:rsidRPr="00C6016D" w:rsidRDefault="00C6016D" w:rsidP="00C6016D">
          <w:pPr>
            <w:spacing w:after="0" w:line="360" w:lineRule="auto"/>
            <w:ind w:left="720" w:hanging="720"/>
            <w:jc w:val="both"/>
            <w:rPr>
              <w:rFonts w:ascii="Times New Roman" w:hAnsi="Times New Roman"/>
              <w:bCs/>
              <w:sz w:val="24"/>
              <w:szCs w:val="24"/>
            </w:rPr>
          </w:pPr>
          <w:r w:rsidRPr="00C6016D">
            <w:rPr>
              <w:rFonts w:ascii="Times New Roman" w:hAnsi="Times New Roman"/>
              <w:bCs/>
              <w:sz w:val="24"/>
              <w:szCs w:val="24"/>
            </w:rPr>
            <w:t xml:space="preserve">Menacho, M, Pizarro, Lily., Osorio, Julio., Osorio, J., &amp; León, B. (2024). Inteligencia artificial como herramienta en el aprendizaje autónomo de los estudiantes de educación superior. Revista </w:t>
          </w:r>
          <w:proofErr w:type="spellStart"/>
          <w:r w:rsidRPr="00C6016D">
            <w:rPr>
              <w:rFonts w:ascii="Times New Roman" w:hAnsi="Times New Roman"/>
              <w:bCs/>
              <w:sz w:val="24"/>
              <w:szCs w:val="24"/>
            </w:rPr>
            <w:t>InveCom</w:t>
          </w:r>
          <w:proofErr w:type="spellEnd"/>
          <w:r w:rsidRPr="00C6016D">
            <w:rPr>
              <w:rFonts w:ascii="Times New Roman" w:hAnsi="Times New Roman"/>
              <w:bCs/>
              <w:sz w:val="24"/>
              <w:szCs w:val="24"/>
            </w:rPr>
            <w:t>, 4(2). https://doi.org/10.5281/zenodo.10693945</w:t>
          </w:r>
        </w:p>
        <w:p w14:paraId="2DF76E66" w14:textId="77777777" w:rsidR="00C6016D" w:rsidRPr="00C6016D" w:rsidRDefault="00C6016D" w:rsidP="00C6016D">
          <w:pPr>
            <w:spacing w:after="0" w:line="360" w:lineRule="auto"/>
            <w:ind w:left="720" w:hanging="720"/>
            <w:jc w:val="both"/>
            <w:rPr>
              <w:rFonts w:ascii="Times New Roman" w:hAnsi="Times New Roman"/>
              <w:bCs/>
              <w:sz w:val="24"/>
              <w:szCs w:val="24"/>
            </w:rPr>
          </w:pPr>
          <w:r w:rsidRPr="00C6016D">
            <w:rPr>
              <w:rFonts w:ascii="Times New Roman" w:hAnsi="Times New Roman"/>
              <w:bCs/>
              <w:sz w:val="24"/>
              <w:szCs w:val="24"/>
            </w:rPr>
            <w:t>Muñoz, C., Roger, V., &amp; Castelló, F. (2025). IA generativa y pensamiento crítico en la educación universitaria a distancia: desafíos y oportunidades. RIED, 28(2). https://doi.org/10.5944/ried.28.2.43556</w:t>
          </w:r>
        </w:p>
        <w:p w14:paraId="0853014C" w14:textId="77777777" w:rsidR="00C6016D" w:rsidRPr="00C6016D" w:rsidRDefault="00C6016D" w:rsidP="00C6016D">
          <w:pPr>
            <w:spacing w:after="0" w:line="360" w:lineRule="auto"/>
            <w:ind w:left="720" w:hanging="720"/>
            <w:jc w:val="both"/>
            <w:rPr>
              <w:rFonts w:ascii="Times New Roman" w:hAnsi="Times New Roman"/>
              <w:bCs/>
              <w:sz w:val="24"/>
              <w:szCs w:val="24"/>
            </w:rPr>
          </w:pPr>
          <w:r w:rsidRPr="00C6016D">
            <w:rPr>
              <w:rFonts w:ascii="Times New Roman" w:hAnsi="Times New Roman"/>
              <w:bCs/>
              <w:sz w:val="24"/>
              <w:szCs w:val="24"/>
            </w:rPr>
            <w:t xml:space="preserve">Ossa, C., Palma, M., Lagos, N., Quintana, I., &amp; Díaz, C. (2017). Análisis de instrumentos de medición del pensamiento crítico. Ciencias Psicológicas, 11(1), pp. 19-28 https://doi.org/10.22235/cp.v11i2.1343   </w:t>
          </w:r>
        </w:p>
        <w:p w14:paraId="73656399" w14:textId="77777777" w:rsidR="00C6016D" w:rsidRPr="00C6016D" w:rsidRDefault="00C6016D" w:rsidP="00C6016D">
          <w:pPr>
            <w:spacing w:after="0" w:line="360" w:lineRule="auto"/>
            <w:ind w:left="720" w:hanging="720"/>
            <w:jc w:val="both"/>
            <w:rPr>
              <w:rFonts w:ascii="Times New Roman" w:hAnsi="Times New Roman"/>
              <w:bCs/>
              <w:sz w:val="24"/>
              <w:szCs w:val="24"/>
            </w:rPr>
          </w:pPr>
          <w:r w:rsidRPr="00C6016D">
            <w:rPr>
              <w:rFonts w:ascii="Times New Roman" w:hAnsi="Times New Roman"/>
              <w:bCs/>
              <w:sz w:val="24"/>
              <w:szCs w:val="24"/>
            </w:rPr>
            <w:t xml:space="preserve">Paul, R., &amp; Elder, L. (2006). </w:t>
          </w:r>
          <w:proofErr w:type="spellStart"/>
          <w:r w:rsidRPr="00C6016D">
            <w:rPr>
              <w:rFonts w:ascii="Times New Roman" w:hAnsi="Times New Roman"/>
              <w:bCs/>
              <w:sz w:val="24"/>
              <w:szCs w:val="24"/>
            </w:rPr>
            <w:t>Critical</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Thinking</w:t>
          </w:r>
          <w:proofErr w:type="spellEnd"/>
          <w:r w:rsidRPr="00C6016D">
            <w:rPr>
              <w:rFonts w:ascii="Times New Roman" w:hAnsi="Times New Roman"/>
              <w:bCs/>
              <w:sz w:val="24"/>
              <w:szCs w:val="24"/>
            </w:rPr>
            <w:t xml:space="preserve">: Tools </w:t>
          </w:r>
          <w:proofErr w:type="spellStart"/>
          <w:r w:rsidRPr="00C6016D">
            <w:rPr>
              <w:rFonts w:ascii="Times New Roman" w:hAnsi="Times New Roman"/>
              <w:bCs/>
              <w:sz w:val="24"/>
              <w:szCs w:val="24"/>
            </w:rPr>
            <w:t>for</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Taking</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Charge</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of</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Your</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Learning</w:t>
          </w:r>
          <w:proofErr w:type="spellEnd"/>
          <w:r w:rsidRPr="00C6016D">
            <w:rPr>
              <w:rFonts w:ascii="Times New Roman" w:hAnsi="Times New Roman"/>
              <w:bCs/>
              <w:sz w:val="24"/>
              <w:szCs w:val="24"/>
            </w:rPr>
            <w:t xml:space="preserve"> and </w:t>
          </w:r>
          <w:proofErr w:type="spellStart"/>
          <w:r w:rsidRPr="00C6016D">
            <w:rPr>
              <w:rFonts w:ascii="Times New Roman" w:hAnsi="Times New Roman"/>
              <w:bCs/>
              <w:sz w:val="24"/>
              <w:szCs w:val="24"/>
            </w:rPr>
            <w:t>Your</w:t>
          </w:r>
          <w:proofErr w:type="spellEnd"/>
          <w:r w:rsidRPr="00C6016D">
            <w:rPr>
              <w:rFonts w:ascii="Times New Roman" w:hAnsi="Times New Roman"/>
              <w:bCs/>
              <w:sz w:val="24"/>
              <w:szCs w:val="24"/>
            </w:rPr>
            <w:t xml:space="preserve"> </w:t>
          </w:r>
          <w:proofErr w:type="spellStart"/>
          <w:r w:rsidRPr="00C6016D">
            <w:rPr>
              <w:rFonts w:ascii="Times New Roman" w:hAnsi="Times New Roman"/>
              <w:bCs/>
              <w:sz w:val="24"/>
              <w:szCs w:val="24"/>
            </w:rPr>
            <w:t>Life</w:t>
          </w:r>
          <w:proofErr w:type="spellEnd"/>
          <w:r w:rsidRPr="00C6016D">
            <w:rPr>
              <w:rFonts w:ascii="Times New Roman" w:hAnsi="Times New Roman"/>
              <w:bCs/>
              <w:sz w:val="24"/>
              <w:szCs w:val="24"/>
            </w:rPr>
            <w:t xml:space="preserve">. Pearson </w:t>
          </w:r>
          <w:proofErr w:type="spellStart"/>
          <w:r w:rsidRPr="00C6016D">
            <w:rPr>
              <w:rFonts w:ascii="Times New Roman" w:hAnsi="Times New Roman"/>
              <w:bCs/>
              <w:sz w:val="24"/>
              <w:szCs w:val="24"/>
            </w:rPr>
            <w:t>Education</w:t>
          </w:r>
          <w:proofErr w:type="spellEnd"/>
          <w:r w:rsidRPr="00C6016D">
            <w:rPr>
              <w:rFonts w:ascii="Times New Roman" w:hAnsi="Times New Roman"/>
              <w:bCs/>
              <w:sz w:val="24"/>
              <w:szCs w:val="24"/>
            </w:rPr>
            <w:t>. https://api.pageplace.de/preview/DT0400.9781292054803_A24570013/preview-9781292054803_A24570013.pdf</w:t>
          </w:r>
        </w:p>
        <w:p w14:paraId="13AADE1E" w14:textId="77777777" w:rsidR="00C6016D" w:rsidRPr="00C6016D" w:rsidRDefault="00C6016D" w:rsidP="00C6016D">
          <w:pPr>
            <w:spacing w:after="0" w:line="360" w:lineRule="auto"/>
            <w:ind w:left="720" w:hanging="720"/>
            <w:jc w:val="both"/>
            <w:rPr>
              <w:rFonts w:ascii="Times New Roman" w:hAnsi="Times New Roman"/>
              <w:bCs/>
              <w:sz w:val="24"/>
              <w:szCs w:val="24"/>
            </w:rPr>
          </w:pPr>
          <w:proofErr w:type="spellStart"/>
          <w:r w:rsidRPr="00C6016D">
            <w:rPr>
              <w:rFonts w:ascii="Times New Roman" w:hAnsi="Times New Roman"/>
              <w:bCs/>
              <w:sz w:val="24"/>
              <w:szCs w:val="24"/>
            </w:rPr>
            <w:t>Stryker</w:t>
          </w:r>
          <w:proofErr w:type="spellEnd"/>
          <w:r w:rsidRPr="00C6016D">
            <w:rPr>
              <w:rFonts w:ascii="Times New Roman" w:hAnsi="Times New Roman"/>
              <w:bCs/>
              <w:sz w:val="24"/>
              <w:szCs w:val="24"/>
            </w:rPr>
            <w:t xml:space="preserve">, C., &amp; </w:t>
          </w:r>
          <w:proofErr w:type="spellStart"/>
          <w:r w:rsidRPr="00C6016D">
            <w:rPr>
              <w:rFonts w:ascii="Times New Roman" w:hAnsi="Times New Roman"/>
              <w:bCs/>
              <w:sz w:val="24"/>
              <w:szCs w:val="24"/>
            </w:rPr>
            <w:t>Scapicchio</w:t>
          </w:r>
          <w:proofErr w:type="spellEnd"/>
          <w:r w:rsidRPr="00C6016D">
            <w:rPr>
              <w:rFonts w:ascii="Times New Roman" w:hAnsi="Times New Roman"/>
              <w:bCs/>
              <w:sz w:val="24"/>
              <w:szCs w:val="24"/>
            </w:rPr>
            <w:t xml:space="preserve">, M. (2024). ¿Qué es la IA generativa? IBM </w:t>
          </w:r>
          <w:proofErr w:type="spellStart"/>
          <w:r w:rsidRPr="00C6016D">
            <w:rPr>
              <w:rFonts w:ascii="Times New Roman" w:hAnsi="Times New Roman"/>
              <w:bCs/>
              <w:sz w:val="24"/>
              <w:szCs w:val="24"/>
            </w:rPr>
            <w:t>Think</w:t>
          </w:r>
          <w:proofErr w:type="spellEnd"/>
          <w:r w:rsidRPr="00C6016D">
            <w:rPr>
              <w:rFonts w:ascii="Times New Roman" w:hAnsi="Times New Roman"/>
              <w:bCs/>
              <w:sz w:val="24"/>
              <w:szCs w:val="24"/>
            </w:rPr>
            <w:t>. https://www.ibm.com/es-es/think/topics/generative-ai</w:t>
          </w:r>
        </w:p>
        <w:p w14:paraId="50B8C7F7" w14:textId="1D17F05B" w:rsidR="00D709E2" w:rsidRPr="00D709E2" w:rsidRDefault="00C6016D" w:rsidP="00C6016D">
          <w:pPr>
            <w:spacing w:after="0" w:line="360" w:lineRule="auto"/>
            <w:ind w:left="720" w:hanging="720"/>
            <w:jc w:val="both"/>
            <w:rPr>
              <w:rFonts w:ascii="Times New Roman" w:hAnsi="Times New Roman"/>
              <w:bCs/>
              <w:sz w:val="24"/>
              <w:szCs w:val="24"/>
            </w:rPr>
          </w:pPr>
          <w:r w:rsidRPr="00C6016D">
            <w:rPr>
              <w:rFonts w:ascii="Times New Roman" w:hAnsi="Times New Roman"/>
              <w:bCs/>
              <w:sz w:val="24"/>
              <w:szCs w:val="24"/>
            </w:rPr>
            <w:t>Vendrell, M., &amp; Rodríguez, J. (2020). Pensamiento Crítico: conceptualización y relevancia en el seno de la educación superior. Revista de la educación superior, 49(194), pp. 9-25. https://doi.org/10.36857/resu.2020.194.1121</w:t>
          </w:r>
        </w:p>
        <w:p w14:paraId="4886DBF9" w14:textId="29AB2817" w:rsidR="001D05FC" w:rsidRPr="001D05FC" w:rsidRDefault="001D05FC" w:rsidP="00D709E2">
          <w:pPr>
            <w:spacing w:after="0" w:line="360" w:lineRule="auto"/>
            <w:ind w:left="720" w:hanging="720"/>
            <w:jc w:val="both"/>
            <w:rPr>
              <w:rFonts w:ascii="Times New Roman" w:hAnsi="Times New Roman"/>
              <w:bCs/>
              <w:sz w:val="24"/>
              <w:szCs w:val="24"/>
            </w:rPr>
          </w:pPr>
        </w:p>
        <w:p w14:paraId="69978864" w14:textId="78B1B2D9" w:rsidR="000D14A8" w:rsidRPr="000D14A8" w:rsidRDefault="000D14A8" w:rsidP="001D05FC">
          <w:pPr>
            <w:spacing w:after="0" w:line="360" w:lineRule="auto"/>
            <w:ind w:left="720" w:hanging="720"/>
            <w:jc w:val="both"/>
            <w:rPr>
              <w:rFonts w:ascii="Times New Roman" w:hAnsi="Times New Roman"/>
              <w:bCs/>
              <w:sz w:val="24"/>
              <w:szCs w:val="24"/>
            </w:rPr>
          </w:pPr>
        </w:p>
        <w:p w14:paraId="5622F5AF" w14:textId="39E9B430" w:rsidR="000B1916" w:rsidRDefault="000B1916" w:rsidP="000D14A8">
          <w:pPr>
            <w:spacing w:after="0" w:line="360" w:lineRule="auto"/>
            <w:ind w:left="720" w:hanging="720"/>
            <w:jc w:val="both"/>
            <w:rPr>
              <w:rFonts w:ascii="Times New Roman" w:hAnsi="Times New Roman"/>
              <w:bCs/>
              <w:sz w:val="24"/>
              <w:szCs w:val="24"/>
            </w:rPr>
          </w:pPr>
          <w:r w:rsidRPr="000B1916">
            <w:rPr>
              <w:rFonts w:ascii="Times New Roman" w:hAnsi="Times New Roman"/>
              <w:bCs/>
              <w:sz w:val="24"/>
              <w:szCs w:val="24"/>
            </w:rPr>
            <w:t xml:space="preserve"> </w:t>
          </w:r>
        </w:p>
      </w:sdtContent>
    </w:sdt>
    <w:p w14:paraId="79BA468E" w14:textId="5A9CCC82" w:rsidR="000B1916" w:rsidRDefault="000B1916" w:rsidP="000B1916">
      <w:pPr>
        <w:spacing w:after="0" w:line="360" w:lineRule="auto"/>
        <w:jc w:val="both"/>
        <w:rPr>
          <w:rFonts w:ascii="Times New Roman" w:eastAsia="SimSun" w:hAnsi="Times New Roman"/>
          <w:sz w:val="18"/>
          <w:szCs w:val="16"/>
        </w:rPr>
      </w:pPr>
    </w:p>
    <w:p w14:paraId="4C5E843F" w14:textId="610449BD" w:rsidR="000D14A8" w:rsidRDefault="000D14A8" w:rsidP="000B1916">
      <w:pPr>
        <w:spacing w:after="0" w:line="360" w:lineRule="auto"/>
        <w:jc w:val="both"/>
        <w:rPr>
          <w:rFonts w:ascii="Times New Roman" w:eastAsia="SimSun" w:hAnsi="Times New Roman"/>
          <w:sz w:val="18"/>
          <w:szCs w:val="16"/>
        </w:rPr>
      </w:pPr>
    </w:p>
    <w:p w14:paraId="0F297088" w14:textId="76465AB4" w:rsidR="00C10A56" w:rsidRDefault="00C10A56" w:rsidP="001D05FC">
      <w:pPr>
        <w:spacing w:after="0" w:line="360" w:lineRule="auto"/>
        <w:rPr>
          <w:rFonts w:ascii="Times New Roman" w:eastAsia="SimSun" w:hAnsi="Times New Roman"/>
          <w:sz w:val="18"/>
          <w:szCs w:val="16"/>
        </w:rPr>
      </w:pPr>
    </w:p>
    <w:p w14:paraId="0412B26A" w14:textId="178EABCE" w:rsidR="00023E1F" w:rsidRDefault="00023E1F" w:rsidP="001D05FC">
      <w:pPr>
        <w:spacing w:after="0" w:line="360" w:lineRule="auto"/>
        <w:rPr>
          <w:rFonts w:ascii="Times New Roman" w:eastAsia="SimSun" w:hAnsi="Times New Roman"/>
          <w:sz w:val="18"/>
          <w:szCs w:val="16"/>
        </w:rPr>
      </w:pPr>
    </w:p>
    <w:p w14:paraId="5761BCC7" w14:textId="5B93FEF3" w:rsidR="00023E1F" w:rsidRDefault="00023E1F" w:rsidP="001D05FC">
      <w:pPr>
        <w:spacing w:after="0" w:line="360" w:lineRule="auto"/>
        <w:rPr>
          <w:rFonts w:ascii="Times New Roman" w:eastAsia="SimSun" w:hAnsi="Times New Roman"/>
          <w:sz w:val="18"/>
          <w:szCs w:val="16"/>
        </w:rPr>
      </w:pPr>
    </w:p>
    <w:p w14:paraId="57A89641" w14:textId="79991D9E" w:rsidR="00023E1F" w:rsidRDefault="00023E1F" w:rsidP="001D05FC">
      <w:pPr>
        <w:spacing w:after="0" w:line="360" w:lineRule="auto"/>
        <w:rPr>
          <w:rFonts w:ascii="Times New Roman" w:eastAsia="SimSun" w:hAnsi="Times New Roman"/>
          <w:sz w:val="18"/>
          <w:szCs w:val="16"/>
        </w:rPr>
      </w:pPr>
    </w:p>
    <w:p w14:paraId="021226B8" w14:textId="0D641F1D" w:rsidR="00023E1F" w:rsidRDefault="00023E1F" w:rsidP="001D05FC">
      <w:pPr>
        <w:spacing w:after="0" w:line="360" w:lineRule="auto"/>
        <w:rPr>
          <w:rFonts w:ascii="Times New Roman" w:eastAsia="SimSun" w:hAnsi="Times New Roman"/>
          <w:sz w:val="18"/>
          <w:szCs w:val="16"/>
        </w:rPr>
      </w:pPr>
    </w:p>
    <w:p w14:paraId="550A4CD7" w14:textId="62F69BC3" w:rsidR="00023E1F" w:rsidRDefault="00023E1F" w:rsidP="001D05FC">
      <w:pPr>
        <w:spacing w:after="0" w:line="360" w:lineRule="auto"/>
        <w:rPr>
          <w:rFonts w:ascii="Times New Roman" w:eastAsia="SimSun" w:hAnsi="Times New Roman"/>
          <w:sz w:val="18"/>
          <w:szCs w:val="16"/>
        </w:rPr>
      </w:pPr>
    </w:p>
    <w:p w14:paraId="29C26C52" w14:textId="020790CC" w:rsidR="00274504" w:rsidRDefault="00274504" w:rsidP="001D05FC">
      <w:pPr>
        <w:spacing w:after="0" w:line="360" w:lineRule="auto"/>
        <w:rPr>
          <w:rFonts w:ascii="Times New Roman" w:eastAsia="SimSun" w:hAnsi="Times New Roman"/>
          <w:sz w:val="18"/>
          <w:szCs w:val="16"/>
        </w:rPr>
      </w:pPr>
    </w:p>
    <w:p w14:paraId="774A8626" w14:textId="010947D0" w:rsidR="00274504" w:rsidRDefault="00274504" w:rsidP="001D05FC">
      <w:pPr>
        <w:spacing w:after="0" w:line="360" w:lineRule="auto"/>
        <w:rPr>
          <w:rFonts w:ascii="Times New Roman" w:eastAsia="SimSun" w:hAnsi="Times New Roman"/>
          <w:sz w:val="18"/>
          <w:szCs w:val="16"/>
        </w:rPr>
      </w:pPr>
    </w:p>
    <w:p w14:paraId="5C149F3F" w14:textId="1E2E25EE" w:rsidR="00274504" w:rsidRDefault="00274504" w:rsidP="001D05FC">
      <w:pPr>
        <w:spacing w:after="0" w:line="360" w:lineRule="auto"/>
        <w:rPr>
          <w:rFonts w:ascii="Times New Roman" w:eastAsia="SimSun" w:hAnsi="Times New Roman"/>
          <w:sz w:val="18"/>
          <w:szCs w:val="16"/>
        </w:rPr>
      </w:pPr>
    </w:p>
    <w:p w14:paraId="6B71EBEE" w14:textId="77777777" w:rsidR="00274504" w:rsidRDefault="00274504" w:rsidP="001D05FC">
      <w:pPr>
        <w:spacing w:after="0" w:line="360" w:lineRule="auto"/>
        <w:rPr>
          <w:rFonts w:ascii="Times New Roman" w:eastAsia="SimSun" w:hAnsi="Times New Roman"/>
          <w:sz w:val="18"/>
          <w:szCs w:val="16"/>
        </w:rPr>
      </w:pPr>
    </w:p>
    <w:p w14:paraId="3EF746B3" w14:textId="2F600537" w:rsidR="00023E1F" w:rsidRDefault="00023E1F" w:rsidP="001D05FC">
      <w:pPr>
        <w:spacing w:after="0" w:line="360" w:lineRule="auto"/>
        <w:rPr>
          <w:rFonts w:ascii="Times New Roman" w:eastAsia="SimSun" w:hAnsi="Times New Roman"/>
          <w:sz w:val="18"/>
          <w:szCs w:val="16"/>
        </w:rPr>
      </w:pPr>
    </w:p>
    <w:p w14:paraId="11B4CDB3" w14:textId="77777777" w:rsidR="00023E1F" w:rsidRDefault="00023E1F" w:rsidP="001D05FC">
      <w:pPr>
        <w:spacing w:after="0" w:line="360" w:lineRule="auto"/>
        <w:rPr>
          <w:rFonts w:ascii="Times New Roman" w:eastAsia="SimSun" w:hAnsi="Times New Roman"/>
          <w:sz w:val="18"/>
          <w:szCs w:val="16"/>
        </w:rPr>
      </w:pPr>
    </w:p>
    <w:p w14:paraId="555C3870" w14:textId="1646CBD6" w:rsidR="00953F95" w:rsidRPr="000B1916" w:rsidRDefault="00ED3331" w:rsidP="000B1916">
      <w:pPr>
        <w:spacing w:after="0" w:line="360" w:lineRule="auto"/>
        <w:jc w:val="center"/>
        <w:rPr>
          <w:rFonts w:ascii="Times New Roman" w:hAnsi="Times New Roman"/>
          <w:bCs/>
          <w:sz w:val="24"/>
          <w:szCs w:val="24"/>
        </w:rPr>
      </w:pPr>
      <w:r w:rsidRPr="00C072E0">
        <w:rPr>
          <w:rFonts w:ascii="Times New Roman" w:eastAsia="SimSun" w:hAnsi="Times New Roman"/>
          <w:sz w:val="18"/>
          <w:szCs w:val="16"/>
        </w:rPr>
        <w:t>© 202</w:t>
      </w:r>
      <w:r w:rsidR="002424FB">
        <w:rPr>
          <w:rFonts w:ascii="Times New Roman" w:eastAsia="SimSun" w:hAnsi="Times New Roman"/>
          <w:sz w:val="18"/>
          <w:szCs w:val="16"/>
        </w:rPr>
        <w:t>5</w:t>
      </w:r>
      <w:r w:rsidR="00953F95" w:rsidRPr="00C072E0">
        <w:rPr>
          <w:rFonts w:ascii="Times New Roman" w:eastAsia="SimSun" w:hAnsi="Times New Roman"/>
          <w:sz w:val="18"/>
          <w:szCs w:val="16"/>
        </w:rPr>
        <w:t xml:space="preserve"> por los autores. Este artículo es de acceso abierto y distribuido según los términos y condiciones de la licencia </w:t>
      </w:r>
      <w:proofErr w:type="spellStart"/>
      <w:r w:rsidR="00953F95" w:rsidRPr="00C072E0">
        <w:rPr>
          <w:rFonts w:ascii="Times New Roman" w:eastAsia="SimSun" w:hAnsi="Times New Roman"/>
          <w:sz w:val="18"/>
          <w:szCs w:val="16"/>
        </w:rPr>
        <w:t>Creative</w:t>
      </w:r>
      <w:proofErr w:type="spellEnd"/>
      <w:r w:rsidR="00953F95" w:rsidRPr="00C072E0">
        <w:rPr>
          <w:rFonts w:ascii="Times New Roman" w:eastAsia="SimSun" w:hAnsi="Times New Roman"/>
          <w:sz w:val="18"/>
          <w:szCs w:val="16"/>
        </w:rPr>
        <w:t xml:space="preserve"> </w:t>
      </w:r>
      <w:proofErr w:type="spellStart"/>
      <w:r w:rsidR="00953F95" w:rsidRPr="00C072E0">
        <w:rPr>
          <w:rFonts w:ascii="Times New Roman" w:eastAsia="SimSun" w:hAnsi="Times New Roman"/>
          <w:sz w:val="18"/>
          <w:szCs w:val="16"/>
        </w:rPr>
        <w:t>Commons</w:t>
      </w:r>
      <w:proofErr w:type="spellEnd"/>
      <w:r w:rsidR="00953F95" w:rsidRPr="00C072E0">
        <w:rPr>
          <w:rFonts w:ascii="Times New Roman" w:eastAsia="SimSun" w:hAnsi="Times New Roman"/>
          <w:sz w:val="18"/>
          <w:szCs w:val="16"/>
        </w:rPr>
        <w:t xml:space="preserve"> Atribución-</w:t>
      </w:r>
      <w:proofErr w:type="spellStart"/>
      <w:r w:rsidR="00953F95" w:rsidRPr="00C072E0">
        <w:rPr>
          <w:rFonts w:ascii="Times New Roman" w:eastAsia="SimSun" w:hAnsi="Times New Roman"/>
          <w:sz w:val="18"/>
          <w:szCs w:val="16"/>
        </w:rPr>
        <w:t>NoComercial</w:t>
      </w:r>
      <w:proofErr w:type="spellEnd"/>
      <w:r w:rsidR="00953F95" w:rsidRPr="00C072E0">
        <w:rPr>
          <w:rFonts w:ascii="Times New Roman" w:eastAsia="SimSun" w:hAnsi="Times New Roman"/>
          <w:sz w:val="18"/>
          <w:szCs w:val="16"/>
        </w:rPr>
        <w:t>-</w:t>
      </w:r>
      <w:proofErr w:type="spellStart"/>
      <w:r w:rsidR="00953F95" w:rsidRPr="00C072E0">
        <w:rPr>
          <w:rFonts w:ascii="Times New Roman" w:eastAsia="SimSun" w:hAnsi="Times New Roman"/>
          <w:sz w:val="18"/>
          <w:szCs w:val="16"/>
        </w:rPr>
        <w:t>CompartirIgual</w:t>
      </w:r>
      <w:proofErr w:type="spellEnd"/>
      <w:r w:rsidR="00953F95" w:rsidRPr="00C072E0">
        <w:rPr>
          <w:rFonts w:ascii="Times New Roman" w:eastAsia="SimSun" w:hAnsi="Times New Roman"/>
          <w:sz w:val="18"/>
          <w:szCs w:val="16"/>
        </w:rPr>
        <w:t xml:space="preserve"> 4.0 Internacional (CC BY-NC-SA 4.0)</w:t>
      </w:r>
    </w:p>
    <w:p w14:paraId="4DEDF881" w14:textId="7B8D7FC1" w:rsidR="00051063" w:rsidRPr="00C072E0" w:rsidRDefault="00953F95" w:rsidP="00953F95">
      <w:pPr>
        <w:tabs>
          <w:tab w:val="left" w:pos="3952"/>
        </w:tabs>
        <w:spacing w:after="0" w:line="276" w:lineRule="auto"/>
        <w:contextualSpacing/>
        <w:jc w:val="center"/>
        <w:rPr>
          <w:rFonts w:ascii="Times New Roman" w:eastAsia="SimSun" w:hAnsi="Times New Roman"/>
          <w:sz w:val="18"/>
          <w:szCs w:val="16"/>
        </w:rPr>
      </w:pPr>
      <w:r w:rsidRPr="00C072E0">
        <w:rPr>
          <w:rFonts w:ascii="Times New Roman" w:eastAsia="SimSun" w:hAnsi="Times New Roman"/>
          <w:sz w:val="18"/>
          <w:szCs w:val="16"/>
        </w:rPr>
        <w:t>(</w:t>
      </w:r>
      <w:r w:rsidRPr="00C072E0">
        <w:rPr>
          <w:rFonts w:ascii="Times New Roman" w:eastAsia="SimSun" w:hAnsi="Times New Roman"/>
          <w:color w:val="2E74B5"/>
          <w:sz w:val="18"/>
          <w:szCs w:val="16"/>
        </w:rPr>
        <w:t>https://creativecommons.org/licenses/by-nc-sa/4.0/</w:t>
      </w:r>
      <w:r w:rsidRPr="00C072E0">
        <w:rPr>
          <w:rFonts w:ascii="Times New Roman" w:eastAsia="SimSun" w:hAnsi="Times New Roman"/>
          <w:sz w:val="18"/>
          <w:szCs w:val="16"/>
        </w:rPr>
        <w:t>).</w:t>
      </w:r>
    </w:p>
    <w:sectPr w:rsidR="00051063" w:rsidRPr="00C072E0" w:rsidSect="00C6016D">
      <w:headerReference w:type="even" r:id="rId21"/>
      <w:headerReference w:type="default" r:id="rId22"/>
      <w:headerReference w:type="first" r:id="rId23"/>
      <w:pgSz w:w="12240" w:h="15840" w:code="1"/>
      <w:pgMar w:top="1418" w:right="1418" w:bottom="1418" w:left="1418" w:header="454" w:footer="708" w:gutter="0"/>
      <w:pgNumType w:start="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7DDC8" w14:textId="77777777" w:rsidR="00694EF3" w:rsidRDefault="00694EF3" w:rsidP="002F0B70">
      <w:pPr>
        <w:spacing w:after="0" w:line="240" w:lineRule="auto"/>
      </w:pPr>
      <w:r>
        <w:separator/>
      </w:r>
    </w:p>
  </w:endnote>
  <w:endnote w:type="continuationSeparator" w:id="0">
    <w:p w14:paraId="224BD655" w14:textId="77777777" w:rsidR="00694EF3" w:rsidRDefault="00694EF3" w:rsidP="002F0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2FF" w:usb1="5000205B" w:usb2="0000002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Fallback">
    <w:altName w:val="Yu Gothic"/>
    <w:charset w:val="80"/>
    <w:family w:val="swiss"/>
    <w:pitch w:val="variable"/>
    <w:sig w:usb0="00000000" w:usb1="2BDFFCFB" w:usb2="00000036" w:usb3="00000000" w:csb0="003F01FF" w:csb1="00000000"/>
  </w:font>
  <w:font w:name="FreeSans">
    <w:altName w:val="Arial"/>
    <w:charset w:val="00"/>
    <w:family w:val="swiss"/>
    <w:pitch w:val="variable"/>
    <w:sig w:usb0="00000000" w:usb1="4200FDFF" w:usb2="000030A0" w:usb3="00000000" w:csb0="000001BF" w:csb1="00000000"/>
  </w:font>
  <w:font w:name="Humanst521 BT">
    <w:charset w:val="00"/>
    <w:family w:val="swiss"/>
    <w:pitch w:val="variable"/>
    <w:sig w:usb0="800000AF" w:usb1="1000204A" w:usb2="00000000" w:usb3="00000000" w:csb0="0000001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ohit Devanagari">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Calibri"/>
    <w:charset w:val="02"/>
    <w:family w:val="auto"/>
    <w:pitch w:val="default"/>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A0C4" w14:textId="1F2081BB" w:rsidR="005956C0" w:rsidRDefault="00FA24DF">
    <w:pPr>
      <w:pStyle w:val="Piedepgina"/>
    </w:pPr>
    <w:r>
      <w:rPr>
        <w:noProof/>
        <w:lang w:eastAsia="es-EC"/>
      </w:rPr>
      <mc:AlternateContent>
        <mc:Choice Requires="wps">
          <w:drawing>
            <wp:anchor distT="0" distB="0" distL="114300" distR="114300" simplePos="0" relativeHeight="251651072" behindDoc="0" locked="0" layoutInCell="1" allowOverlap="1" wp14:anchorId="2FCE99E9" wp14:editId="0A3B4707">
              <wp:simplePos x="0" y="0"/>
              <wp:positionH relativeFrom="column">
                <wp:posOffset>671195</wp:posOffset>
              </wp:positionH>
              <wp:positionV relativeFrom="paragraph">
                <wp:posOffset>365760</wp:posOffset>
              </wp:positionV>
              <wp:extent cx="5120005" cy="297180"/>
              <wp:effectExtent l="0" t="1905" r="4445" b="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3364" w14:textId="382476FD" w:rsidR="005956C0" w:rsidRPr="00C973BB" w:rsidRDefault="00F26238" w:rsidP="00C973BB">
                          <w:pPr>
                            <w:jc w:val="center"/>
                            <w:rPr>
                              <w:sz w:val="18"/>
                              <w:szCs w:val="18"/>
                            </w:rPr>
                          </w:pPr>
                          <w:r w:rsidRPr="00F26238">
                            <w:rPr>
                              <w:rFonts w:ascii="Times New Roman" w:hAnsi="Times New Roman"/>
                              <w:sz w:val="18"/>
                              <w:szCs w:val="18"/>
                            </w:rPr>
                            <w:t xml:space="preserve">Pol. Con. (Edición núm. 111) Vol. 10, No 10, </w:t>
                          </w:r>
                          <w:proofErr w:type="gramStart"/>
                          <w:r w:rsidRPr="00F26238">
                            <w:rPr>
                              <w:rFonts w:ascii="Times New Roman" w:hAnsi="Times New Roman"/>
                              <w:sz w:val="18"/>
                              <w:szCs w:val="18"/>
                            </w:rPr>
                            <w:t>Octubre</w:t>
                          </w:r>
                          <w:proofErr w:type="gramEnd"/>
                          <w:r w:rsidRPr="00F26238">
                            <w:rPr>
                              <w:rFonts w:ascii="Times New Roman" w:hAnsi="Times New Roman"/>
                              <w:sz w:val="18"/>
                              <w:szCs w:val="18"/>
                            </w:rPr>
                            <w:t xml:space="preserve"> 2025</w:t>
                          </w:r>
                          <w:r w:rsidR="005956C0" w:rsidRPr="008D7C6C">
                            <w:rPr>
                              <w:rFonts w:ascii="Times New Roman" w:hAnsi="Times New Roman"/>
                              <w:sz w:val="18"/>
                              <w:szCs w:val="18"/>
                            </w:rPr>
                            <w:t xml:space="preserve">, pp. </w:t>
                          </w:r>
                          <w:r w:rsidR="00C6016D" w:rsidRPr="00C6016D">
                            <w:rPr>
                              <w:rFonts w:ascii="Times New Roman" w:hAnsi="Times New Roman"/>
                              <w:sz w:val="18"/>
                              <w:szCs w:val="18"/>
                            </w:rPr>
                            <w:t>1133-1155</w:t>
                          </w:r>
                          <w:r w:rsidR="005956C0">
                            <w:rPr>
                              <w:rFonts w:ascii="Times New Roman" w:hAnsi="Times New Roman"/>
                              <w:sz w:val="18"/>
                              <w:szCs w:val="18"/>
                            </w:rPr>
                            <w:t>,</w:t>
                          </w:r>
                          <w:r w:rsidR="005956C0" w:rsidRPr="008D7C6C">
                            <w:rPr>
                              <w:rFonts w:ascii="Times New Roman" w:hAnsi="Times New Roman"/>
                              <w:sz w:val="18"/>
                              <w:szCs w:val="18"/>
                            </w:rPr>
                            <w:t xml:space="preserve">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E99E9" id="Rectangle 22" o:spid="_x0000_s1030" style="position:absolute;margin-left:52.85pt;margin-top:28.8pt;width:403.15pt;height:2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" stroked="f">
              <v:textbox>
                <w:txbxContent>
                  <w:p w14:paraId="3E3C3364" w14:textId="382476FD" w:rsidR="005956C0" w:rsidRPr="00C973BB" w:rsidRDefault="00F26238" w:rsidP="00C973BB">
                    <w:pPr>
                      <w:jc w:val="center"/>
                      <w:rPr>
                        <w:sz w:val="18"/>
                        <w:szCs w:val="18"/>
                      </w:rPr>
                    </w:pPr>
                    <w:r w:rsidRPr="00F26238">
                      <w:rPr>
                        <w:rFonts w:ascii="Times New Roman" w:hAnsi="Times New Roman"/>
                        <w:sz w:val="18"/>
                        <w:szCs w:val="18"/>
                      </w:rPr>
                      <w:t xml:space="preserve">Pol. Con. (Edición núm. 111) Vol. 10, No 10, </w:t>
                    </w:r>
                    <w:proofErr w:type="gramStart"/>
                    <w:r w:rsidRPr="00F26238">
                      <w:rPr>
                        <w:rFonts w:ascii="Times New Roman" w:hAnsi="Times New Roman"/>
                        <w:sz w:val="18"/>
                        <w:szCs w:val="18"/>
                      </w:rPr>
                      <w:t>Octubre</w:t>
                    </w:r>
                    <w:proofErr w:type="gramEnd"/>
                    <w:r w:rsidRPr="00F26238">
                      <w:rPr>
                        <w:rFonts w:ascii="Times New Roman" w:hAnsi="Times New Roman"/>
                        <w:sz w:val="18"/>
                        <w:szCs w:val="18"/>
                      </w:rPr>
                      <w:t xml:space="preserve"> 2025</w:t>
                    </w:r>
                    <w:r w:rsidR="005956C0" w:rsidRPr="008D7C6C">
                      <w:rPr>
                        <w:rFonts w:ascii="Times New Roman" w:hAnsi="Times New Roman"/>
                        <w:sz w:val="18"/>
                        <w:szCs w:val="18"/>
                      </w:rPr>
                      <w:t xml:space="preserve">, pp. </w:t>
                    </w:r>
                    <w:r w:rsidR="00C6016D" w:rsidRPr="00C6016D">
                      <w:rPr>
                        <w:rFonts w:ascii="Times New Roman" w:hAnsi="Times New Roman"/>
                        <w:sz w:val="18"/>
                        <w:szCs w:val="18"/>
                      </w:rPr>
                      <w:t>1133-1155</w:t>
                    </w:r>
                    <w:r w:rsidR="005956C0">
                      <w:rPr>
                        <w:rFonts w:ascii="Times New Roman" w:hAnsi="Times New Roman"/>
                        <w:sz w:val="18"/>
                        <w:szCs w:val="18"/>
                      </w:rPr>
                      <w:t>,</w:t>
                    </w:r>
                    <w:r w:rsidR="005956C0" w:rsidRPr="008D7C6C">
                      <w:rPr>
                        <w:rFonts w:ascii="Times New Roman" w:hAnsi="Times New Roman"/>
                        <w:sz w:val="18"/>
                        <w:szCs w:val="18"/>
                      </w:rPr>
                      <w:t xml:space="preserve"> ISSN: 2550 - 682X</w:t>
                    </w:r>
                  </w:p>
                </w:txbxContent>
              </v:textbox>
            </v:rect>
          </w:pict>
        </mc:Fallback>
      </mc:AlternateContent>
    </w:r>
    <w:r>
      <w:rPr>
        <w:noProof/>
        <w:lang w:eastAsia="es-EC"/>
      </w:rPr>
      <mc:AlternateContent>
        <mc:Choice Requires="wps">
          <w:drawing>
            <wp:anchor distT="0" distB="0" distL="114300" distR="114300" simplePos="0" relativeHeight="251654144" behindDoc="0" locked="0" layoutInCell="1" allowOverlap="1" wp14:anchorId="23F355AA" wp14:editId="453B0297">
              <wp:simplePos x="0" y="0"/>
              <wp:positionH relativeFrom="column">
                <wp:posOffset>671195</wp:posOffset>
              </wp:positionH>
              <wp:positionV relativeFrom="paragraph">
                <wp:posOffset>304165</wp:posOffset>
              </wp:positionV>
              <wp:extent cx="5120005" cy="635"/>
              <wp:effectExtent l="19050" t="16510" r="13970" b="20955"/>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6AEDB5" id="_x0000_t32" coordsize="21600,21600" o:spt="32" o:oned="t" path="m,l21600,21600e" filled="f">
              <v:path arrowok="t" fillok="f" o:connecttype="none"/>
              <o:lock v:ext="edit" shapetype="t"/>
            </v:shapetype>
            <v:shape id="AutoShape 31" o:spid="_x0000_s1026" type="#_x0000_t32" style="position:absolute;margin-left:52.85pt;margin-top:23.95pt;width:403.1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" strokeweight="2pt"/>
          </w:pict>
        </mc:Fallback>
      </mc:AlternateContent>
    </w:r>
    <w:r>
      <w:rPr>
        <w:noProof/>
      </w:rPr>
      <mc:AlternateContent>
        <mc:Choice Requires="wpg">
          <w:drawing>
            <wp:inline distT="0" distB="0" distL="0" distR="0" wp14:anchorId="707342CF" wp14:editId="664123FA">
              <wp:extent cx="5887720" cy="612775"/>
              <wp:effectExtent l="635" t="5715" r="0" b="635"/>
              <wp:docPr id="10"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612775"/>
                        <a:chOff x="0" y="-29"/>
                        <a:chExt cx="58879" cy="6127"/>
                      </a:xfrm>
                    </wpg:grpSpPr>
                    <wps:wsp>
                      <wps:cNvPr id="11"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2" name="Oval 437"/>
                      <wps:cNvSpPr>
                        <a:spLocks noChangeArrowheads="1"/>
                      </wps:cNvSpPr>
                      <wps:spPr bwMode="auto">
                        <a:xfrm>
                          <a:off x="0" y="-29"/>
                          <a:ext cx="6127" cy="6126"/>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0695D1A" w14:textId="77777777" w:rsidR="005956C0" w:rsidRPr="00DD39BA" w:rsidRDefault="005956C0">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7800AF" w:rsidRPr="007800AF">
                              <w:rPr>
                                <w:noProof/>
                                <w:color w:val="000000"/>
                                <w:sz w:val="32"/>
                                <w:szCs w:val="32"/>
                                <w:lang w:val="es-ES"/>
                              </w:rPr>
                              <w:t>1004</w:t>
                            </w:r>
                            <w:r w:rsidRPr="00DD39BA">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707342CF" id="Grupo 435" o:spid="_x0000_s1031" style="width:463.6pt;height:48.25pt;mso-position-horizontal-relative:char;mso-position-vertical-relative:line" coordorigin=",-29" coordsize="5887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">
              <v:line id="Straight Connector 436" o:spid="_x0000_s1032" style="position:absolute;flip:y;visibility:visible;mso-wrap-style:square" from="3215,20" to="58879,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" stroked="f"/>
              <v:oval id="Oval 437" o:spid="_x0000_s1033" style="position:absolute;top:-29;width:6127;height:6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" fillcolor="#7f5f00" stroked="f" strokeweight="2pt">
                <v:textbox inset="0,0,0,0">
                  <w:txbxContent>
                    <w:p w14:paraId="70695D1A" w14:textId="77777777" w:rsidR="005956C0" w:rsidRPr="00DD39BA" w:rsidRDefault="005956C0">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7800AF" w:rsidRPr="007800AF">
                        <w:rPr>
                          <w:noProof/>
                          <w:color w:val="000000"/>
                          <w:sz w:val="32"/>
                          <w:szCs w:val="32"/>
                          <w:lang w:val="es-ES"/>
                        </w:rPr>
                        <w:t>1004</w:t>
                      </w:r>
                      <w:r w:rsidRPr="00DD39BA">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40A9" w14:textId="3B66E6C9" w:rsidR="005956C0" w:rsidRDefault="00FA24DF">
    <w:pPr>
      <w:pStyle w:val="Piedepgina"/>
    </w:pPr>
    <w:r>
      <w:rPr>
        <w:noProof/>
        <w:lang w:eastAsia="es-EC"/>
      </w:rPr>
      <mc:AlternateContent>
        <mc:Choice Requires="wps">
          <w:drawing>
            <wp:anchor distT="0" distB="0" distL="114300" distR="114300" simplePos="0" relativeHeight="251652096" behindDoc="0" locked="0" layoutInCell="1" allowOverlap="1" wp14:anchorId="10D6E0AF" wp14:editId="21D31F5D">
              <wp:simplePos x="0" y="0"/>
              <wp:positionH relativeFrom="column">
                <wp:posOffset>-480695</wp:posOffset>
              </wp:positionH>
              <wp:positionV relativeFrom="paragraph">
                <wp:posOffset>354330</wp:posOffset>
              </wp:positionV>
              <wp:extent cx="5623560" cy="297180"/>
              <wp:effectExtent l="635" t="0" r="0" b="0"/>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4EB27" w14:textId="10A6AC8F" w:rsidR="005956C0" w:rsidRDefault="005956C0" w:rsidP="008B379D">
                          <w:pPr>
                            <w:jc w:val="right"/>
                          </w:pPr>
                          <w:bookmarkStart w:id="0" w:name="_Hlk190015860"/>
                          <w:r w:rsidRPr="008D7C6C">
                            <w:rPr>
                              <w:rFonts w:ascii="Times New Roman" w:hAnsi="Times New Roman"/>
                              <w:sz w:val="20"/>
                              <w:szCs w:val="20"/>
                            </w:rPr>
                            <w:t xml:space="preserve">Pol. Con. (Edición núm. </w:t>
                          </w:r>
                          <w:r w:rsidR="005465A1">
                            <w:rPr>
                              <w:rFonts w:ascii="Times New Roman" w:hAnsi="Times New Roman"/>
                              <w:sz w:val="20"/>
                              <w:szCs w:val="20"/>
                            </w:rPr>
                            <w:t>1</w:t>
                          </w:r>
                          <w:r w:rsidR="00F26238">
                            <w:rPr>
                              <w:rFonts w:ascii="Times New Roman" w:hAnsi="Times New Roman"/>
                              <w:sz w:val="20"/>
                              <w:szCs w:val="20"/>
                            </w:rPr>
                            <w:t>11</w:t>
                          </w:r>
                          <w:r w:rsidRPr="008D7C6C">
                            <w:rPr>
                              <w:rFonts w:ascii="Times New Roman" w:hAnsi="Times New Roman"/>
                              <w:sz w:val="20"/>
                              <w:szCs w:val="20"/>
                            </w:rPr>
                            <w:t xml:space="preserve">) Vol. </w:t>
                          </w:r>
                          <w:r w:rsidR="001F70D6">
                            <w:rPr>
                              <w:rFonts w:ascii="Times New Roman" w:hAnsi="Times New Roman"/>
                              <w:sz w:val="20"/>
                              <w:szCs w:val="20"/>
                            </w:rPr>
                            <w:t>10</w:t>
                          </w:r>
                          <w:r w:rsidR="00A70244" w:rsidRPr="00A70244">
                            <w:rPr>
                              <w:rFonts w:ascii="Times New Roman" w:hAnsi="Times New Roman"/>
                              <w:sz w:val="20"/>
                              <w:szCs w:val="20"/>
                            </w:rPr>
                            <w:t xml:space="preserve">, No </w:t>
                          </w:r>
                          <w:r w:rsidR="00F26238">
                            <w:rPr>
                              <w:rFonts w:ascii="Times New Roman" w:hAnsi="Times New Roman"/>
                              <w:sz w:val="20"/>
                              <w:szCs w:val="20"/>
                            </w:rPr>
                            <w:t>10</w:t>
                          </w:r>
                          <w:r w:rsidR="00A70244" w:rsidRPr="00A70244">
                            <w:rPr>
                              <w:rFonts w:ascii="Times New Roman" w:hAnsi="Times New Roman"/>
                              <w:sz w:val="20"/>
                              <w:szCs w:val="20"/>
                            </w:rPr>
                            <w:t xml:space="preserve">, </w:t>
                          </w:r>
                          <w:proofErr w:type="gramStart"/>
                          <w:r w:rsidR="00F26238">
                            <w:rPr>
                              <w:rFonts w:ascii="Times New Roman" w:hAnsi="Times New Roman"/>
                              <w:sz w:val="20"/>
                              <w:szCs w:val="20"/>
                            </w:rPr>
                            <w:t>Octubre</w:t>
                          </w:r>
                          <w:proofErr w:type="gramEnd"/>
                          <w:r w:rsidR="00A70244" w:rsidRPr="00A70244">
                            <w:rPr>
                              <w:rFonts w:ascii="Times New Roman" w:hAnsi="Times New Roman"/>
                              <w:sz w:val="20"/>
                              <w:szCs w:val="20"/>
                            </w:rPr>
                            <w:t xml:space="preserve"> 202</w:t>
                          </w:r>
                          <w:bookmarkEnd w:id="0"/>
                          <w:r w:rsidR="001F70D6">
                            <w:rPr>
                              <w:rFonts w:ascii="Times New Roman" w:hAnsi="Times New Roman"/>
                              <w:sz w:val="20"/>
                              <w:szCs w:val="20"/>
                            </w:rPr>
                            <w:t>5</w:t>
                          </w:r>
                          <w:r w:rsidRPr="008D7C6C">
                            <w:rPr>
                              <w:rFonts w:ascii="Times New Roman" w:hAnsi="Times New Roman"/>
                              <w:sz w:val="20"/>
                              <w:szCs w:val="20"/>
                            </w:rPr>
                            <w:t xml:space="preserve">, pp. </w:t>
                          </w:r>
                          <w:r w:rsidR="00C6016D" w:rsidRPr="00C6016D">
                            <w:rPr>
                              <w:rFonts w:ascii="Times New Roman" w:hAnsi="Times New Roman"/>
                              <w:sz w:val="20"/>
                              <w:szCs w:val="20"/>
                            </w:rPr>
                            <w:t>1133-1155</w:t>
                          </w:r>
                          <w:r w:rsidRPr="008D7C6C">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6E0AF" id="Rectangle 27" o:spid="_x0000_s1034" style="position:absolute;margin-left:-37.85pt;margin-top:27.9pt;width:442.8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" stroked="f">
              <v:textbox>
                <w:txbxContent>
                  <w:p w14:paraId="6164EB27" w14:textId="10A6AC8F" w:rsidR="005956C0" w:rsidRDefault="005956C0" w:rsidP="008B379D">
                    <w:pPr>
                      <w:jc w:val="right"/>
                    </w:pPr>
                    <w:bookmarkStart w:id="1" w:name="_Hlk190015860"/>
                    <w:r w:rsidRPr="008D7C6C">
                      <w:rPr>
                        <w:rFonts w:ascii="Times New Roman" w:hAnsi="Times New Roman"/>
                        <w:sz w:val="20"/>
                        <w:szCs w:val="20"/>
                      </w:rPr>
                      <w:t xml:space="preserve">Pol. Con. (Edición núm. </w:t>
                    </w:r>
                    <w:r w:rsidR="005465A1">
                      <w:rPr>
                        <w:rFonts w:ascii="Times New Roman" w:hAnsi="Times New Roman"/>
                        <w:sz w:val="20"/>
                        <w:szCs w:val="20"/>
                      </w:rPr>
                      <w:t>1</w:t>
                    </w:r>
                    <w:r w:rsidR="00F26238">
                      <w:rPr>
                        <w:rFonts w:ascii="Times New Roman" w:hAnsi="Times New Roman"/>
                        <w:sz w:val="20"/>
                        <w:szCs w:val="20"/>
                      </w:rPr>
                      <w:t>11</w:t>
                    </w:r>
                    <w:r w:rsidRPr="008D7C6C">
                      <w:rPr>
                        <w:rFonts w:ascii="Times New Roman" w:hAnsi="Times New Roman"/>
                        <w:sz w:val="20"/>
                        <w:szCs w:val="20"/>
                      </w:rPr>
                      <w:t xml:space="preserve">) Vol. </w:t>
                    </w:r>
                    <w:r w:rsidR="001F70D6">
                      <w:rPr>
                        <w:rFonts w:ascii="Times New Roman" w:hAnsi="Times New Roman"/>
                        <w:sz w:val="20"/>
                        <w:szCs w:val="20"/>
                      </w:rPr>
                      <w:t>10</w:t>
                    </w:r>
                    <w:r w:rsidR="00A70244" w:rsidRPr="00A70244">
                      <w:rPr>
                        <w:rFonts w:ascii="Times New Roman" w:hAnsi="Times New Roman"/>
                        <w:sz w:val="20"/>
                        <w:szCs w:val="20"/>
                      </w:rPr>
                      <w:t xml:space="preserve">, No </w:t>
                    </w:r>
                    <w:r w:rsidR="00F26238">
                      <w:rPr>
                        <w:rFonts w:ascii="Times New Roman" w:hAnsi="Times New Roman"/>
                        <w:sz w:val="20"/>
                        <w:szCs w:val="20"/>
                      </w:rPr>
                      <w:t>10</w:t>
                    </w:r>
                    <w:r w:rsidR="00A70244" w:rsidRPr="00A70244">
                      <w:rPr>
                        <w:rFonts w:ascii="Times New Roman" w:hAnsi="Times New Roman"/>
                        <w:sz w:val="20"/>
                        <w:szCs w:val="20"/>
                      </w:rPr>
                      <w:t xml:space="preserve">, </w:t>
                    </w:r>
                    <w:proofErr w:type="gramStart"/>
                    <w:r w:rsidR="00F26238">
                      <w:rPr>
                        <w:rFonts w:ascii="Times New Roman" w:hAnsi="Times New Roman"/>
                        <w:sz w:val="20"/>
                        <w:szCs w:val="20"/>
                      </w:rPr>
                      <w:t>Octubre</w:t>
                    </w:r>
                    <w:proofErr w:type="gramEnd"/>
                    <w:r w:rsidR="00A70244" w:rsidRPr="00A70244">
                      <w:rPr>
                        <w:rFonts w:ascii="Times New Roman" w:hAnsi="Times New Roman"/>
                        <w:sz w:val="20"/>
                        <w:szCs w:val="20"/>
                      </w:rPr>
                      <w:t xml:space="preserve"> 202</w:t>
                    </w:r>
                    <w:bookmarkEnd w:id="1"/>
                    <w:r w:rsidR="001F70D6">
                      <w:rPr>
                        <w:rFonts w:ascii="Times New Roman" w:hAnsi="Times New Roman"/>
                        <w:sz w:val="20"/>
                        <w:szCs w:val="20"/>
                      </w:rPr>
                      <w:t>5</w:t>
                    </w:r>
                    <w:r w:rsidRPr="008D7C6C">
                      <w:rPr>
                        <w:rFonts w:ascii="Times New Roman" w:hAnsi="Times New Roman"/>
                        <w:sz w:val="20"/>
                        <w:szCs w:val="20"/>
                      </w:rPr>
                      <w:t xml:space="preserve">, pp. </w:t>
                    </w:r>
                    <w:r w:rsidR="00C6016D" w:rsidRPr="00C6016D">
                      <w:rPr>
                        <w:rFonts w:ascii="Times New Roman" w:hAnsi="Times New Roman"/>
                        <w:sz w:val="20"/>
                        <w:szCs w:val="20"/>
                      </w:rPr>
                      <w:t>1133-1155</w:t>
                    </w:r>
                    <w:r w:rsidRPr="008D7C6C">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5168" behindDoc="0" locked="0" layoutInCell="1" allowOverlap="1" wp14:anchorId="1E765931" wp14:editId="13DB71C1">
              <wp:simplePos x="0" y="0"/>
              <wp:positionH relativeFrom="column">
                <wp:posOffset>74295</wp:posOffset>
              </wp:positionH>
              <wp:positionV relativeFrom="paragraph">
                <wp:posOffset>291465</wp:posOffset>
              </wp:positionV>
              <wp:extent cx="5120005" cy="635"/>
              <wp:effectExtent l="12700" t="13335" r="20320" b="14605"/>
              <wp:wrapNone/>
              <wp:docPr id="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23CA94" id="_x0000_t32" coordsize="21600,21600" o:spt="32" o:oned="t" path="m,l21600,21600e" filled="f">
              <v:path arrowok="t" fillok="f" o:connecttype="none"/>
              <o:lock v:ext="edit" shapetype="t"/>
            </v:shapetype>
            <v:shape id="AutoShape 32" o:spid="_x0000_s1026" type="#_x0000_t32" style="position:absolute;margin-left:5.85pt;margin-top:22.95pt;width:403.1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" strokeweight="2pt"/>
          </w:pict>
        </mc:Fallback>
      </mc:AlternateContent>
    </w:r>
    <w:r>
      <w:rPr>
        <w:noProof/>
      </w:rPr>
      <mc:AlternateContent>
        <mc:Choice Requires="wpg">
          <w:drawing>
            <wp:inline distT="0" distB="0" distL="0" distR="0" wp14:anchorId="1DDBA75F" wp14:editId="722F5B93">
              <wp:extent cx="5844540" cy="476885"/>
              <wp:effectExtent l="0" t="5715" r="8255" b="3175"/>
              <wp:docPr id="4"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476885"/>
                        <a:chOff x="0" y="0"/>
                        <a:chExt cx="58445" cy="6064"/>
                      </a:xfrm>
                    </wpg:grpSpPr>
                    <wps:wsp>
                      <wps:cNvPr id="5" name="Straight Connector 439"/>
                      <wps:cNvCnPr>
                        <a:cxnSpLocks noChangeShapeType="1"/>
                      </wps:cNvCnPr>
                      <wps:spPr bwMode="auto">
                        <a:xfrm>
                          <a:off x="0" y="1528"/>
                          <a:ext cx="55768" cy="4421"/>
                        </a:xfrm>
                        <a:prstGeom prst="line">
                          <a:avLst/>
                        </a:prstGeom>
                        <a:no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 name="Oval 440"/>
                      <wps:cNvSpPr>
                        <a:spLocks noChangeArrowheads="1"/>
                      </wps:cNvSpPr>
                      <wps:spPr bwMode="auto">
                        <a:xfrm>
                          <a:off x="52452" y="0"/>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0A4C39DF" w14:textId="77777777" w:rsidR="005956C0" w:rsidRPr="00DD39BA" w:rsidRDefault="005956C0">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7800AF" w:rsidRPr="007800AF">
                              <w:rPr>
                                <w:noProof/>
                                <w:color w:val="000000"/>
                                <w:sz w:val="32"/>
                                <w:szCs w:val="32"/>
                                <w:lang w:val="es-ES"/>
                              </w:rPr>
                              <w:t>985</w:t>
                            </w:r>
                            <w:r w:rsidRPr="00DD39BA">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1DDBA75F" id="Grupo 438" o:spid="_x0000_s1035" style="width:460.2pt;height:37.55pt;mso-position-horizontal-relative:char;mso-position-vertical-relative:line" coordsize="58445,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">
              <v:line id="Straight Connector 439" o:spid="_x0000_s1036" style="position:absolute;visibility:visible;mso-wrap-style:square" from="0,1528" to="55768,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3bwAAAANoAAAAPAAAAZHJzL2Rvd25yZXYueG1sRI/BasMw&#10;EETvhf6D2EJvjdxAQ+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ZHPd28AAAADaAAAADwAAAAAA&#10;AAAAAAAAAAAHAgAAZHJzL2Rvd25yZXYueG1sUEsFBgAAAAADAAMAtwAAAPQCAAAAAA==&#10;" stroked="f"/>
              <v:oval id="Oval 440" o:spid="_x0000_s1037" style="position:absolute;left:52452;width:5993;height: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" fillcolor="#7f5f00" stroked="f" strokeweight="2pt">
                <v:textbox inset="0,0,0,0">
                  <w:txbxContent>
                    <w:p w14:paraId="0A4C39DF" w14:textId="77777777" w:rsidR="005956C0" w:rsidRPr="00DD39BA" w:rsidRDefault="005956C0">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7800AF" w:rsidRPr="007800AF">
                        <w:rPr>
                          <w:noProof/>
                          <w:color w:val="000000"/>
                          <w:sz w:val="32"/>
                          <w:szCs w:val="32"/>
                          <w:lang w:val="es-ES"/>
                        </w:rPr>
                        <w:t>985</w:t>
                      </w:r>
                      <w:r w:rsidRPr="00DD39BA">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C002" w14:textId="0E4C5587" w:rsidR="005956C0" w:rsidRDefault="00FA24DF">
    <w:pPr>
      <w:pStyle w:val="Piedepgina"/>
    </w:pPr>
    <w:r>
      <w:rPr>
        <w:noProof/>
        <w:lang w:eastAsia="es-EC"/>
      </w:rPr>
      <mc:AlternateContent>
        <mc:Choice Requires="wps">
          <w:drawing>
            <wp:anchor distT="0" distB="0" distL="114300" distR="114300" simplePos="0" relativeHeight="251656192" behindDoc="0" locked="0" layoutInCell="1" allowOverlap="1" wp14:anchorId="6E032CE1" wp14:editId="1EADD836">
              <wp:simplePos x="0" y="0"/>
              <wp:positionH relativeFrom="column">
                <wp:posOffset>485140</wp:posOffset>
              </wp:positionH>
              <wp:positionV relativeFrom="paragraph">
                <wp:posOffset>41275</wp:posOffset>
              </wp:positionV>
              <wp:extent cx="4582795" cy="297180"/>
              <wp:effectExtent l="4445" t="1270" r="3810" b="0"/>
              <wp:wrapNone/>
              <wp:docPr id="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FB368" w14:textId="77777777" w:rsidR="005956C0" w:rsidRPr="008B379D" w:rsidRDefault="005956C0" w:rsidP="008B379D">
                          <w:pPr>
                            <w:jc w:val="center"/>
                          </w:pPr>
                          <w:r w:rsidRPr="008911DB">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32CE1" id="Rectangle 33" o:spid="_x0000_s1039" style="position:absolute;margin-left:38.2pt;margin-top:3.25pt;width:360.8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" stroked="f">
              <v:textbox>
                <w:txbxContent>
                  <w:p w14:paraId="1C8FB368" w14:textId="77777777" w:rsidR="005956C0" w:rsidRPr="008B379D" w:rsidRDefault="005956C0" w:rsidP="008B379D">
                    <w:pPr>
                      <w:jc w:val="center"/>
                    </w:pPr>
                    <w:r w:rsidRPr="008911DB">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3120" behindDoc="0" locked="0" layoutInCell="1" allowOverlap="1" wp14:anchorId="0ADDB78A" wp14:editId="02D6AC95">
              <wp:simplePos x="0" y="0"/>
              <wp:positionH relativeFrom="column">
                <wp:posOffset>196850</wp:posOffset>
              </wp:positionH>
              <wp:positionV relativeFrom="paragraph">
                <wp:posOffset>-31750</wp:posOffset>
              </wp:positionV>
              <wp:extent cx="5120005" cy="635"/>
              <wp:effectExtent l="20955" t="13970" r="21590" b="13970"/>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4FF13E" id="_x0000_t32" coordsize="21600,21600" o:spt="32" o:oned="t" path="m,l21600,21600e" filled="f">
              <v:path arrowok="t" fillok="f" o:connecttype="none"/>
              <o:lock v:ext="edit" shapetype="t"/>
            </v:shapetype>
            <v:shape id="AutoShape 30" o:spid="_x0000_s1026" type="#_x0000_t32" style="position:absolute;margin-left:15.5pt;margin-top:-2.5pt;width:403.1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"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E730A" w14:textId="77777777" w:rsidR="00694EF3" w:rsidRDefault="00694EF3" w:rsidP="002F0B70">
      <w:pPr>
        <w:spacing w:after="0" w:line="240" w:lineRule="auto"/>
      </w:pPr>
      <w:r>
        <w:separator/>
      </w:r>
    </w:p>
  </w:footnote>
  <w:footnote w:type="continuationSeparator" w:id="0">
    <w:p w14:paraId="18DB41AC" w14:textId="77777777" w:rsidR="00694EF3" w:rsidRDefault="00694EF3" w:rsidP="002F0B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136C" w14:textId="77777777" w:rsidR="005956C0" w:rsidRDefault="005956C0">
    <w:pPr>
      <w:pStyle w:val="Encabezado"/>
    </w:pPr>
    <w:r>
      <w:t>titulo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19B0" w14:textId="77777777" w:rsidR="005956C0" w:rsidRDefault="005956C0" w:rsidP="005B5D18">
    <w:pPr>
      <w:pStyle w:val="Encabezado"/>
      <w:tabs>
        <w:tab w:val="left" w:pos="503"/>
        <w:tab w:val="right" w:pos="9404"/>
      </w:tabs>
    </w:pPr>
    <w:r>
      <w:rPr>
        <w:noProof/>
      </w:rPr>
      <w:t>autor</w:t>
    </w:r>
    <w:r>
      <w:t xml:space="preserve"> </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9F4E" w14:textId="47321F31" w:rsidR="005956C0" w:rsidRDefault="00FA24DF">
    <w:pPr>
      <w:pStyle w:val="Encabezado"/>
    </w:pPr>
    <w:r>
      <w:rPr>
        <w:noProof/>
      </w:rPr>
      <w:drawing>
        <wp:anchor distT="0" distB="0" distL="0" distR="0" simplePos="0" relativeHeight="251660288" behindDoc="1" locked="0" layoutInCell="1" allowOverlap="1" wp14:anchorId="0EB0A5B5" wp14:editId="726FD458">
          <wp:simplePos x="0" y="0"/>
          <wp:positionH relativeFrom="page">
            <wp:posOffset>-9525</wp:posOffset>
          </wp:positionH>
          <wp:positionV relativeFrom="paragraph">
            <wp:posOffset>-420370</wp:posOffset>
          </wp:positionV>
          <wp:extent cx="7933690" cy="1076325"/>
          <wp:effectExtent l="0" t="0" r="0" b="0"/>
          <wp:wrapNone/>
          <wp:docPr id="23"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29D1BB17" wp14:editId="0924B21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14:paraId="68B2A038" w14:textId="5F0CD90B" w:rsidR="009F3CAE" w:rsidRDefault="005956C0" w:rsidP="008D7C6C">
                          <w:pPr>
                            <w:spacing w:after="0" w:line="240" w:lineRule="auto"/>
                            <w:rPr>
                              <w:rFonts w:ascii="Times New Roman" w:eastAsia="Times New Roman" w:hAnsi="Times New Roman"/>
                              <w:b/>
                              <w:color w:val="000000"/>
                              <w:lang w:eastAsia="es-EC"/>
                            </w:rPr>
                          </w:pPr>
                          <w:r w:rsidRPr="008D7C6C">
                            <w:rPr>
                              <w:rFonts w:ascii="Times New Roman" w:eastAsia="Times New Roman" w:hAnsi="Times New Roman"/>
                              <w:b/>
                              <w:lang w:eastAsia="es-EC"/>
                            </w:rPr>
                            <w:t xml:space="preserve">Pol. Con. </w:t>
                          </w:r>
                          <w:r w:rsidRPr="008D7C6C">
                            <w:rPr>
                              <w:rFonts w:ascii="Times New Roman" w:eastAsia="Times New Roman" w:hAnsi="Times New Roman"/>
                              <w:b/>
                              <w:color w:val="000000"/>
                              <w:lang w:eastAsia="es-EC"/>
                            </w:rPr>
                            <w:t xml:space="preserve">(Edición núm. </w:t>
                          </w:r>
                          <w:r w:rsidR="00C91EF6">
                            <w:rPr>
                              <w:rFonts w:ascii="Times New Roman" w:eastAsia="Times New Roman" w:hAnsi="Times New Roman"/>
                              <w:b/>
                              <w:color w:val="000000"/>
                              <w:lang w:eastAsia="es-EC"/>
                            </w:rPr>
                            <w:t>1</w:t>
                          </w:r>
                          <w:r w:rsidR="00F26238">
                            <w:rPr>
                              <w:rFonts w:ascii="Times New Roman" w:eastAsia="Times New Roman" w:hAnsi="Times New Roman"/>
                              <w:b/>
                              <w:color w:val="000000"/>
                              <w:lang w:eastAsia="es-EC"/>
                            </w:rPr>
                            <w:t>11</w:t>
                          </w:r>
                          <w:r w:rsidRPr="008D7C6C">
                            <w:rPr>
                              <w:rFonts w:ascii="Times New Roman" w:eastAsia="Times New Roman" w:hAnsi="Times New Roman"/>
                              <w:b/>
                              <w:color w:val="000000"/>
                              <w:lang w:eastAsia="es-EC"/>
                            </w:rPr>
                            <w:t xml:space="preserve">) Vol. </w:t>
                          </w:r>
                          <w:r w:rsidR="001F70D6">
                            <w:rPr>
                              <w:rFonts w:ascii="Times New Roman" w:eastAsia="Times New Roman" w:hAnsi="Times New Roman"/>
                              <w:b/>
                              <w:color w:val="000000"/>
                              <w:lang w:eastAsia="es-EC"/>
                            </w:rPr>
                            <w:t>10</w:t>
                          </w:r>
                          <w:r w:rsidRPr="008D7C6C">
                            <w:rPr>
                              <w:rFonts w:ascii="Times New Roman" w:eastAsia="Times New Roman" w:hAnsi="Times New Roman"/>
                              <w:b/>
                              <w:color w:val="000000"/>
                              <w:lang w:eastAsia="es-EC"/>
                            </w:rPr>
                            <w:t xml:space="preserve">, No </w:t>
                          </w:r>
                          <w:r w:rsidR="00F26238">
                            <w:rPr>
                              <w:rFonts w:ascii="Times New Roman" w:eastAsia="Times New Roman" w:hAnsi="Times New Roman"/>
                              <w:b/>
                              <w:color w:val="000000"/>
                              <w:lang w:eastAsia="es-EC"/>
                            </w:rPr>
                            <w:t>10</w:t>
                          </w:r>
                        </w:p>
                        <w:p w14:paraId="0B609F8D" w14:textId="22A93361" w:rsidR="005956C0" w:rsidRDefault="00F26238" w:rsidP="008D7C6C">
                          <w:pPr>
                            <w:spacing w:after="0" w:line="240" w:lineRule="auto"/>
                            <w:rPr>
                              <w:rFonts w:ascii="Times New Roman" w:eastAsia="Times New Roman" w:hAnsi="Times New Roman"/>
                              <w:b/>
                              <w:lang w:val="en-US" w:eastAsia="es-EC"/>
                            </w:rPr>
                          </w:pPr>
                          <w:proofErr w:type="spellStart"/>
                          <w:r>
                            <w:rPr>
                              <w:rFonts w:ascii="Times New Roman" w:eastAsia="Times New Roman" w:hAnsi="Times New Roman"/>
                              <w:b/>
                              <w:lang w:val="pt-BR" w:eastAsia="es-EC"/>
                            </w:rPr>
                            <w:t>Octubre</w:t>
                          </w:r>
                          <w:proofErr w:type="spellEnd"/>
                          <w:r w:rsidR="005956C0" w:rsidRPr="008D7C6C">
                            <w:rPr>
                              <w:rFonts w:ascii="Times New Roman" w:eastAsia="Times New Roman" w:hAnsi="Times New Roman"/>
                              <w:b/>
                              <w:lang w:val="pt-BR" w:eastAsia="es-EC"/>
                            </w:rPr>
                            <w:t xml:space="preserve"> 202</w:t>
                          </w:r>
                          <w:r w:rsidR="001F70D6">
                            <w:rPr>
                              <w:rFonts w:ascii="Times New Roman" w:eastAsia="Times New Roman" w:hAnsi="Times New Roman"/>
                              <w:b/>
                              <w:lang w:val="pt-BR" w:eastAsia="es-EC"/>
                            </w:rPr>
                            <w:t>5</w:t>
                          </w:r>
                          <w:r w:rsidR="005956C0" w:rsidRPr="008D7C6C">
                            <w:rPr>
                              <w:rFonts w:ascii="Times New Roman" w:eastAsia="Times New Roman" w:hAnsi="Times New Roman"/>
                              <w:b/>
                              <w:lang w:val="pt-BR" w:eastAsia="es-EC"/>
                            </w:rPr>
                            <w:t xml:space="preserve">, pp. </w:t>
                          </w:r>
                          <w:bookmarkStart w:id="2" w:name="_Hlk151539803"/>
                          <w:r>
                            <w:rPr>
                              <w:rFonts w:ascii="Times New Roman" w:eastAsia="Times New Roman" w:hAnsi="Times New Roman"/>
                              <w:b/>
                              <w:lang w:val="en-US" w:eastAsia="es-EC"/>
                            </w:rPr>
                            <w:t>1</w:t>
                          </w:r>
                          <w:r w:rsidR="00C6016D">
                            <w:rPr>
                              <w:rFonts w:ascii="Times New Roman" w:eastAsia="Times New Roman" w:hAnsi="Times New Roman"/>
                              <w:b/>
                              <w:lang w:val="en-US" w:eastAsia="es-EC"/>
                            </w:rPr>
                            <w:t>133</w:t>
                          </w:r>
                          <w:r w:rsidR="00887FA8">
                            <w:rPr>
                              <w:rFonts w:ascii="Times New Roman" w:eastAsia="Times New Roman" w:hAnsi="Times New Roman"/>
                              <w:b/>
                              <w:lang w:val="en-US" w:eastAsia="es-EC"/>
                            </w:rPr>
                            <w:t>-</w:t>
                          </w:r>
                          <w:bookmarkEnd w:id="2"/>
                          <w:r>
                            <w:rPr>
                              <w:rFonts w:ascii="Times New Roman" w:eastAsia="Times New Roman" w:hAnsi="Times New Roman"/>
                              <w:b/>
                              <w:lang w:val="en-US" w:eastAsia="es-EC"/>
                            </w:rPr>
                            <w:t>1</w:t>
                          </w:r>
                          <w:r w:rsidR="00C6016D">
                            <w:rPr>
                              <w:rFonts w:ascii="Times New Roman" w:eastAsia="Times New Roman" w:hAnsi="Times New Roman"/>
                              <w:b/>
                              <w:lang w:val="en-US" w:eastAsia="es-EC"/>
                            </w:rPr>
                            <w:t>155</w:t>
                          </w:r>
                        </w:p>
                        <w:p w14:paraId="14D5953B" w14:textId="77777777" w:rsidR="005956C0" w:rsidRPr="008D7C6C" w:rsidRDefault="005956C0" w:rsidP="008D7C6C">
                          <w:pPr>
                            <w:spacing w:after="0" w:line="240" w:lineRule="auto"/>
                            <w:rPr>
                              <w:rFonts w:ascii="Times New Roman" w:eastAsia="Times New Roman" w:hAnsi="Times New Roman"/>
                              <w:b/>
                              <w:lang w:val="pt-BR" w:eastAsia="es-EC"/>
                            </w:rPr>
                          </w:pPr>
                          <w:r w:rsidRPr="008D7C6C">
                            <w:rPr>
                              <w:rFonts w:ascii="Times New Roman" w:eastAsia="Times New Roman" w:hAnsi="Times New Roman"/>
                              <w:b/>
                              <w:lang w:val="pt-BR" w:eastAsia="es-EC"/>
                            </w:rPr>
                            <w:t>ISSN: 2550 - 682X</w:t>
                          </w:r>
                        </w:p>
                        <w:p w14:paraId="60CAA3F7" w14:textId="69678F1D" w:rsidR="005956C0" w:rsidRPr="004F5EA3" w:rsidRDefault="005956C0" w:rsidP="004F5EA3">
                          <w:pPr>
                            <w:spacing w:after="0" w:line="240" w:lineRule="auto"/>
                            <w:rPr>
                              <w:rFonts w:ascii="Times New Roman" w:eastAsia="Times New Roman" w:hAnsi="Times New Roman"/>
                              <w:b/>
                              <w:lang w:val="pt-BR" w:eastAsia="es-EC"/>
                            </w:rPr>
                          </w:pPr>
                          <w:r w:rsidRPr="008D7C6C">
                            <w:rPr>
                              <w:rFonts w:ascii="Times New Roman" w:eastAsia="Times New Roman" w:hAnsi="Times New Roman"/>
                              <w:b/>
                              <w:lang w:val="pt-BR" w:eastAsia="es-EC"/>
                            </w:rPr>
                            <w:t xml:space="preserve">DOI: </w:t>
                          </w:r>
                          <w:r w:rsidR="00023E1F" w:rsidRPr="00023E1F">
                            <w:rPr>
                              <w:rFonts w:ascii="Times New Roman" w:eastAsia="Times New Roman" w:hAnsi="Times New Roman"/>
                              <w:b/>
                              <w:lang w:val="pt-BR" w:eastAsia="es-EC"/>
                            </w:rPr>
                            <w:t>10.23857/</w:t>
                          </w:r>
                          <w:proofErr w:type="gramStart"/>
                          <w:r w:rsidR="00023E1F" w:rsidRPr="00023E1F">
                            <w:rPr>
                              <w:rFonts w:ascii="Times New Roman" w:eastAsia="Times New Roman" w:hAnsi="Times New Roman"/>
                              <w:b/>
                              <w:lang w:val="pt-BR" w:eastAsia="es-EC"/>
                            </w:rPr>
                            <w:t>pc.v</w:t>
                          </w:r>
                          <w:proofErr w:type="gramEnd"/>
                          <w:r w:rsidR="00023E1F" w:rsidRPr="00023E1F">
                            <w:rPr>
                              <w:rFonts w:ascii="Times New Roman" w:eastAsia="Times New Roman" w:hAnsi="Times New Roman"/>
                              <w:b/>
                              <w:lang w:val="pt-BR" w:eastAsia="es-EC"/>
                            </w:rPr>
                            <w:t>9i12.8589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1BB17" id="Rectángulo 29" o:spid="_x0000_s1038" style="position:absolute;margin-left:294.7pt;margin-top:-33.1pt;width:247.9pt;height:7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14:paraId="68B2A038" w14:textId="5F0CD90B" w:rsidR="009F3CAE" w:rsidRDefault="005956C0" w:rsidP="008D7C6C">
                    <w:pPr>
                      <w:spacing w:after="0" w:line="240" w:lineRule="auto"/>
                      <w:rPr>
                        <w:rFonts w:ascii="Times New Roman" w:eastAsia="Times New Roman" w:hAnsi="Times New Roman"/>
                        <w:b/>
                        <w:color w:val="000000"/>
                        <w:lang w:eastAsia="es-EC"/>
                      </w:rPr>
                    </w:pPr>
                    <w:r w:rsidRPr="008D7C6C">
                      <w:rPr>
                        <w:rFonts w:ascii="Times New Roman" w:eastAsia="Times New Roman" w:hAnsi="Times New Roman"/>
                        <w:b/>
                        <w:lang w:eastAsia="es-EC"/>
                      </w:rPr>
                      <w:t xml:space="preserve">Pol. Con. </w:t>
                    </w:r>
                    <w:r w:rsidRPr="008D7C6C">
                      <w:rPr>
                        <w:rFonts w:ascii="Times New Roman" w:eastAsia="Times New Roman" w:hAnsi="Times New Roman"/>
                        <w:b/>
                        <w:color w:val="000000"/>
                        <w:lang w:eastAsia="es-EC"/>
                      </w:rPr>
                      <w:t xml:space="preserve">(Edición núm. </w:t>
                    </w:r>
                    <w:r w:rsidR="00C91EF6">
                      <w:rPr>
                        <w:rFonts w:ascii="Times New Roman" w:eastAsia="Times New Roman" w:hAnsi="Times New Roman"/>
                        <w:b/>
                        <w:color w:val="000000"/>
                        <w:lang w:eastAsia="es-EC"/>
                      </w:rPr>
                      <w:t>1</w:t>
                    </w:r>
                    <w:r w:rsidR="00F26238">
                      <w:rPr>
                        <w:rFonts w:ascii="Times New Roman" w:eastAsia="Times New Roman" w:hAnsi="Times New Roman"/>
                        <w:b/>
                        <w:color w:val="000000"/>
                        <w:lang w:eastAsia="es-EC"/>
                      </w:rPr>
                      <w:t>11</w:t>
                    </w:r>
                    <w:r w:rsidRPr="008D7C6C">
                      <w:rPr>
                        <w:rFonts w:ascii="Times New Roman" w:eastAsia="Times New Roman" w:hAnsi="Times New Roman"/>
                        <w:b/>
                        <w:color w:val="000000"/>
                        <w:lang w:eastAsia="es-EC"/>
                      </w:rPr>
                      <w:t xml:space="preserve">) Vol. </w:t>
                    </w:r>
                    <w:r w:rsidR="001F70D6">
                      <w:rPr>
                        <w:rFonts w:ascii="Times New Roman" w:eastAsia="Times New Roman" w:hAnsi="Times New Roman"/>
                        <w:b/>
                        <w:color w:val="000000"/>
                        <w:lang w:eastAsia="es-EC"/>
                      </w:rPr>
                      <w:t>10</w:t>
                    </w:r>
                    <w:r w:rsidRPr="008D7C6C">
                      <w:rPr>
                        <w:rFonts w:ascii="Times New Roman" w:eastAsia="Times New Roman" w:hAnsi="Times New Roman"/>
                        <w:b/>
                        <w:color w:val="000000"/>
                        <w:lang w:eastAsia="es-EC"/>
                      </w:rPr>
                      <w:t xml:space="preserve">, No </w:t>
                    </w:r>
                    <w:r w:rsidR="00F26238">
                      <w:rPr>
                        <w:rFonts w:ascii="Times New Roman" w:eastAsia="Times New Roman" w:hAnsi="Times New Roman"/>
                        <w:b/>
                        <w:color w:val="000000"/>
                        <w:lang w:eastAsia="es-EC"/>
                      </w:rPr>
                      <w:t>10</w:t>
                    </w:r>
                  </w:p>
                  <w:p w14:paraId="0B609F8D" w14:textId="22A93361" w:rsidR="005956C0" w:rsidRDefault="00F26238" w:rsidP="008D7C6C">
                    <w:pPr>
                      <w:spacing w:after="0" w:line="240" w:lineRule="auto"/>
                      <w:rPr>
                        <w:rFonts w:ascii="Times New Roman" w:eastAsia="Times New Roman" w:hAnsi="Times New Roman"/>
                        <w:b/>
                        <w:lang w:val="en-US" w:eastAsia="es-EC"/>
                      </w:rPr>
                    </w:pPr>
                    <w:proofErr w:type="spellStart"/>
                    <w:r>
                      <w:rPr>
                        <w:rFonts w:ascii="Times New Roman" w:eastAsia="Times New Roman" w:hAnsi="Times New Roman"/>
                        <w:b/>
                        <w:lang w:val="pt-BR" w:eastAsia="es-EC"/>
                      </w:rPr>
                      <w:t>Octubre</w:t>
                    </w:r>
                    <w:proofErr w:type="spellEnd"/>
                    <w:r w:rsidR="005956C0" w:rsidRPr="008D7C6C">
                      <w:rPr>
                        <w:rFonts w:ascii="Times New Roman" w:eastAsia="Times New Roman" w:hAnsi="Times New Roman"/>
                        <w:b/>
                        <w:lang w:val="pt-BR" w:eastAsia="es-EC"/>
                      </w:rPr>
                      <w:t xml:space="preserve"> 202</w:t>
                    </w:r>
                    <w:r w:rsidR="001F70D6">
                      <w:rPr>
                        <w:rFonts w:ascii="Times New Roman" w:eastAsia="Times New Roman" w:hAnsi="Times New Roman"/>
                        <w:b/>
                        <w:lang w:val="pt-BR" w:eastAsia="es-EC"/>
                      </w:rPr>
                      <w:t>5</w:t>
                    </w:r>
                    <w:r w:rsidR="005956C0" w:rsidRPr="008D7C6C">
                      <w:rPr>
                        <w:rFonts w:ascii="Times New Roman" w:eastAsia="Times New Roman" w:hAnsi="Times New Roman"/>
                        <w:b/>
                        <w:lang w:val="pt-BR" w:eastAsia="es-EC"/>
                      </w:rPr>
                      <w:t xml:space="preserve">, pp. </w:t>
                    </w:r>
                    <w:bookmarkStart w:id="3" w:name="_Hlk151539803"/>
                    <w:r>
                      <w:rPr>
                        <w:rFonts w:ascii="Times New Roman" w:eastAsia="Times New Roman" w:hAnsi="Times New Roman"/>
                        <w:b/>
                        <w:lang w:val="en-US" w:eastAsia="es-EC"/>
                      </w:rPr>
                      <w:t>1</w:t>
                    </w:r>
                    <w:r w:rsidR="00C6016D">
                      <w:rPr>
                        <w:rFonts w:ascii="Times New Roman" w:eastAsia="Times New Roman" w:hAnsi="Times New Roman"/>
                        <w:b/>
                        <w:lang w:val="en-US" w:eastAsia="es-EC"/>
                      </w:rPr>
                      <w:t>133</w:t>
                    </w:r>
                    <w:r w:rsidR="00887FA8">
                      <w:rPr>
                        <w:rFonts w:ascii="Times New Roman" w:eastAsia="Times New Roman" w:hAnsi="Times New Roman"/>
                        <w:b/>
                        <w:lang w:val="en-US" w:eastAsia="es-EC"/>
                      </w:rPr>
                      <w:t>-</w:t>
                    </w:r>
                    <w:bookmarkEnd w:id="3"/>
                    <w:r>
                      <w:rPr>
                        <w:rFonts w:ascii="Times New Roman" w:eastAsia="Times New Roman" w:hAnsi="Times New Roman"/>
                        <w:b/>
                        <w:lang w:val="en-US" w:eastAsia="es-EC"/>
                      </w:rPr>
                      <w:t>1</w:t>
                    </w:r>
                    <w:r w:rsidR="00C6016D">
                      <w:rPr>
                        <w:rFonts w:ascii="Times New Roman" w:eastAsia="Times New Roman" w:hAnsi="Times New Roman"/>
                        <w:b/>
                        <w:lang w:val="en-US" w:eastAsia="es-EC"/>
                      </w:rPr>
                      <w:t>155</w:t>
                    </w:r>
                  </w:p>
                  <w:p w14:paraId="14D5953B" w14:textId="77777777" w:rsidR="005956C0" w:rsidRPr="008D7C6C" w:rsidRDefault="005956C0" w:rsidP="008D7C6C">
                    <w:pPr>
                      <w:spacing w:after="0" w:line="240" w:lineRule="auto"/>
                      <w:rPr>
                        <w:rFonts w:ascii="Times New Roman" w:eastAsia="Times New Roman" w:hAnsi="Times New Roman"/>
                        <w:b/>
                        <w:lang w:val="pt-BR" w:eastAsia="es-EC"/>
                      </w:rPr>
                    </w:pPr>
                    <w:r w:rsidRPr="008D7C6C">
                      <w:rPr>
                        <w:rFonts w:ascii="Times New Roman" w:eastAsia="Times New Roman" w:hAnsi="Times New Roman"/>
                        <w:b/>
                        <w:lang w:val="pt-BR" w:eastAsia="es-EC"/>
                      </w:rPr>
                      <w:t>ISSN: 2550 - 682X</w:t>
                    </w:r>
                  </w:p>
                  <w:p w14:paraId="60CAA3F7" w14:textId="69678F1D" w:rsidR="005956C0" w:rsidRPr="004F5EA3" w:rsidRDefault="005956C0" w:rsidP="004F5EA3">
                    <w:pPr>
                      <w:spacing w:after="0" w:line="240" w:lineRule="auto"/>
                      <w:rPr>
                        <w:rFonts w:ascii="Times New Roman" w:eastAsia="Times New Roman" w:hAnsi="Times New Roman"/>
                        <w:b/>
                        <w:lang w:val="pt-BR" w:eastAsia="es-EC"/>
                      </w:rPr>
                    </w:pPr>
                    <w:r w:rsidRPr="008D7C6C">
                      <w:rPr>
                        <w:rFonts w:ascii="Times New Roman" w:eastAsia="Times New Roman" w:hAnsi="Times New Roman"/>
                        <w:b/>
                        <w:lang w:val="pt-BR" w:eastAsia="es-EC"/>
                      </w:rPr>
                      <w:t xml:space="preserve">DOI: </w:t>
                    </w:r>
                    <w:r w:rsidR="00023E1F" w:rsidRPr="00023E1F">
                      <w:rPr>
                        <w:rFonts w:ascii="Times New Roman" w:eastAsia="Times New Roman" w:hAnsi="Times New Roman"/>
                        <w:b/>
                        <w:lang w:val="pt-BR" w:eastAsia="es-EC"/>
                      </w:rPr>
                      <w:t>10.23857/</w:t>
                    </w:r>
                    <w:proofErr w:type="gramStart"/>
                    <w:r w:rsidR="00023E1F" w:rsidRPr="00023E1F">
                      <w:rPr>
                        <w:rFonts w:ascii="Times New Roman" w:eastAsia="Times New Roman" w:hAnsi="Times New Roman"/>
                        <w:b/>
                        <w:lang w:val="pt-BR" w:eastAsia="es-EC"/>
                      </w:rPr>
                      <w:t>pc.v</w:t>
                    </w:r>
                    <w:proofErr w:type="gramEnd"/>
                    <w:r w:rsidR="00023E1F" w:rsidRPr="00023E1F">
                      <w:rPr>
                        <w:rFonts w:ascii="Times New Roman" w:eastAsia="Times New Roman" w:hAnsi="Times New Roman"/>
                        <w:b/>
                        <w:lang w:val="pt-BR" w:eastAsia="es-EC"/>
                      </w:rPr>
                      <w:t>9i12.8589</w:t>
                    </w:r>
                  </w:p>
                </w:txbxContent>
              </v:textbox>
            </v:rect>
          </w:pict>
        </mc:Fallback>
      </mc:AlternateContent>
    </w:r>
    <w:r w:rsidR="005956C0" w:rsidRPr="00F87267">
      <w:t xml:space="preserve"> </w:t>
    </w:r>
  </w:p>
  <w:p w14:paraId="122D3B7F" w14:textId="77777777" w:rsidR="005956C0" w:rsidRDefault="005956C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9C03A" w14:textId="68AB4FF1" w:rsidR="005956C0" w:rsidRDefault="00FA24DF">
    <w:pPr>
      <w:pStyle w:val="Encabezado"/>
    </w:pPr>
    <w:r>
      <w:rPr>
        <w:noProof/>
      </w:rPr>
      <mc:AlternateContent>
        <mc:Choice Requires="wps">
          <w:drawing>
            <wp:anchor distT="0" distB="0" distL="114300" distR="114300" simplePos="0" relativeHeight="251658240" behindDoc="0" locked="0" layoutInCell="1" allowOverlap="1" wp14:anchorId="76D6F016" wp14:editId="32B51474">
              <wp:simplePos x="0" y="0"/>
              <wp:positionH relativeFrom="column">
                <wp:posOffset>-167005</wp:posOffset>
              </wp:positionH>
              <wp:positionV relativeFrom="paragraph">
                <wp:posOffset>-231140</wp:posOffset>
              </wp:positionV>
              <wp:extent cx="6343650" cy="4635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463550"/>
                      </a:xfrm>
                      <a:prstGeom prst="rect">
                        <a:avLst/>
                      </a:prstGeom>
                      <a:noFill/>
                      <a:ln>
                        <a:noFill/>
                      </a:ln>
                    </wps:spPr>
                    <wps:txbx>
                      <w:txbxContent>
                        <w:p w14:paraId="0A9D227D" w14:textId="37680822" w:rsidR="00F83C24" w:rsidRPr="0003223E" w:rsidRDefault="0095350E" w:rsidP="00C10A56">
                          <w:pPr>
                            <w:jc w:val="center"/>
                            <w:rPr>
                              <w:rFonts w:ascii="Times New Roman" w:eastAsia="Times New Roman" w:hAnsi="Times New Roman"/>
                              <w:szCs w:val="26"/>
                            </w:rPr>
                          </w:pPr>
                          <w:r w:rsidRPr="0095350E">
                            <w:rPr>
                              <w:rFonts w:ascii="Times New Roman" w:hAnsi="Times New Roman"/>
                              <w:bCs/>
                              <w:iCs/>
                              <w:color w:val="000000"/>
                              <w:sz w:val="24"/>
                              <w:szCs w:val="24"/>
                            </w:rPr>
                            <w:t>Impacto de la inteligencia generativa en el desarrollo del pensamiento crítico en estudiantes universitarios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76D6F016" id="Rectángulo 31" o:spid="_x0000_s1040" style="position:absolute;margin-left:-13.15pt;margin-top:-18.2pt;width:499.5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" filled="f" stroked="f">
              <v:textbox>
                <w:txbxContent>
                  <w:p w14:paraId="0A9D227D" w14:textId="37680822" w:rsidR="00F83C24" w:rsidRPr="0003223E" w:rsidRDefault="0095350E" w:rsidP="00C10A56">
                    <w:pPr>
                      <w:jc w:val="center"/>
                      <w:rPr>
                        <w:rFonts w:ascii="Times New Roman" w:eastAsia="Times New Roman" w:hAnsi="Times New Roman"/>
                        <w:szCs w:val="26"/>
                      </w:rPr>
                    </w:pPr>
                    <w:r w:rsidRPr="0095350E">
                      <w:rPr>
                        <w:rFonts w:ascii="Times New Roman" w:hAnsi="Times New Roman"/>
                        <w:bCs/>
                        <w:iCs/>
                        <w:color w:val="000000"/>
                        <w:sz w:val="24"/>
                        <w:szCs w:val="24"/>
                      </w:rPr>
                      <w:t>Impacto de la inteligencia generativa en el desarrollo del pensamiento crítico en estudiantes universitarios</w:t>
                    </w:r>
                  </w:p>
                </w:txbxContent>
              </v:textbox>
            </v:rect>
          </w:pict>
        </mc:Fallback>
      </mc:AlternateContent>
    </w:r>
    <w:r>
      <w:rPr>
        <w:noProof/>
      </w:rPr>
      <w:drawing>
        <wp:anchor distT="0" distB="0" distL="0" distR="0" simplePos="0" relativeHeight="251661312" behindDoc="1" locked="0" layoutInCell="1" allowOverlap="1" wp14:anchorId="2EC57CB8" wp14:editId="5C350F8A">
          <wp:simplePos x="0" y="0"/>
          <wp:positionH relativeFrom="column">
            <wp:posOffset>-885190</wp:posOffset>
          </wp:positionH>
          <wp:positionV relativeFrom="paragraph">
            <wp:posOffset>-285115</wp:posOffset>
          </wp:positionV>
          <wp:extent cx="7768590" cy="683895"/>
          <wp:effectExtent l="0" t="0" r="0" b="0"/>
          <wp:wrapNone/>
          <wp:docPr id="5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
  <w:p w14:paraId="07902FA4" w14:textId="77777777" w:rsidR="005956C0" w:rsidRDefault="005956C0">
    <w:pPr>
      <w:pStyle w:val="Encabezado"/>
    </w:pPr>
  </w:p>
  <w:p w14:paraId="41804D64" w14:textId="77777777" w:rsidR="005956C0" w:rsidRDefault="005956C0">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B058" w14:textId="1E105C08" w:rsidR="005956C0" w:rsidRDefault="00FA24DF" w:rsidP="005B5D18">
    <w:pPr>
      <w:pStyle w:val="Encabezado"/>
      <w:tabs>
        <w:tab w:val="left" w:pos="503"/>
        <w:tab w:val="right" w:pos="9404"/>
      </w:tabs>
    </w:pPr>
    <w:r>
      <w:rPr>
        <w:noProof/>
        <w:lang w:eastAsia="es-EC"/>
      </w:rPr>
      <mc:AlternateContent>
        <mc:Choice Requires="wps">
          <w:drawing>
            <wp:anchor distT="0" distB="0" distL="114300" distR="114300" simplePos="0" relativeHeight="251659264" behindDoc="0" locked="0" layoutInCell="1" allowOverlap="1" wp14:anchorId="694E7B14" wp14:editId="03383330">
              <wp:simplePos x="0" y="0"/>
              <wp:positionH relativeFrom="column">
                <wp:posOffset>-772160</wp:posOffset>
              </wp:positionH>
              <wp:positionV relativeFrom="paragraph">
                <wp:posOffset>-202565</wp:posOffset>
              </wp:positionV>
              <wp:extent cx="7510780" cy="514350"/>
              <wp:effectExtent l="4445" t="0" r="0" b="0"/>
              <wp:wrapNone/>
              <wp:docPr id="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078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8395F" w14:textId="6C978E6B" w:rsidR="00F01DEC" w:rsidRDefault="0095350E" w:rsidP="00353A37">
                          <w:pPr>
                            <w:jc w:val="center"/>
                          </w:pPr>
                          <w:r w:rsidRPr="0095350E">
                            <w:rPr>
                              <w:rFonts w:ascii="Times New Roman" w:eastAsia="Times New Roman" w:hAnsi="Times New Roman"/>
                              <w:bCs/>
                              <w:iCs/>
                            </w:rPr>
                            <w:t>Alejandro Xavier Lara Borja</w:t>
                          </w:r>
                          <w:r>
                            <w:rPr>
                              <w:rFonts w:ascii="Times New Roman" w:eastAsia="Times New Roman" w:hAnsi="Times New Roman"/>
                              <w:bCs/>
                              <w:iCs/>
                            </w:rPr>
                            <w:t>,</w:t>
                          </w:r>
                          <w:r w:rsidRPr="0095350E">
                            <w:rPr>
                              <w:rFonts w:ascii="Times New Roman" w:hAnsi="Times New Roman"/>
                              <w:bCs/>
                              <w:iCs/>
                              <w:color w:val="000000"/>
                              <w:sz w:val="24"/>
                              <w:szCs w:val="24"/>
                            </w:rPr>
                            <w:t xml:space="preserve"> </w:t>
                          </w:r>
                          <w:r w:rsidRPr="0095350E">
                            <w:rPr>
                              <w:rFonts w:ascii="Times New Roman" w:hAnsi="Times New Roman"/>
                              <w:bCs/>
                              <w:iCs/>
                              <w:color w:val="000000"/>
                              <w:sz w:val="24"/>
                              <w:szCs w:val="24"/>
                            </w:rPr>
                            <w:t>Wendy Luz</w:t>
                          </w:r>
                          <w:r>
                            <w:rPr>
                              <w:rFonts w:ascii="Times New Roman" w:hAnsi="Times New Roman"/>
                              <w:bCs/>
                              <w:iCs/>
                              <w:color w:val="000000"/>
                              <w:sz w:val="24"/>
                              <w:szCs w:val="24"/>
                            </w:rPr>
                            <w:t xml:space="preserve"> </w:t>
                          </w:r>
                          <w:r w:rsidRPr="0095350E">
                            <w:rPr>
                              <w:rFonts w:ascii="Times New Roman" w:hAnsi="Times New Roman"/>
                              <w:bCs/>
                              <w:iCs/>
                              <w:color w:val="000000"/>
                              <w:sz w:val="24"/>
                              <w:szCs w:val="24"/>
                            </w:rPr>
                            <w:t>Pin Castro</w:t>
                          </w:r>
                          <w:r>
                            <w:rPr>
                              <w:rFonts w:ascii="Times New Roman" w:hAnsi="Times New Roman"/>
                              <w:bCs/>
                              <w:iCs/>
                              <w:color w:val="000000"/>
                              <w:sz w:val="24"/>
                              <w:szCs w:val="24"/>
                            </w:rPr>
                            <w:t>,</w:t>
                          </w:r>
                          <w:r w:rsidRPr="0095350E">
                            <w:rPr>
                              <w:rFonts w:ascii="Times New Roman" w:hAnsi="Times New Roman"/>
                              <w:bCs/>
                              <w:iCs/>
                              <w:color w:val="000000"/>
                              <w:sz w:val="24"/>
                              <w:szCs w:val="24"/>
                            </w:rPr>
                            <w:t xml:space="preserve"> </w:t>
                          </w:r>
                          <w:proofErr w:type="spellStart"/>
                          <w:r w:rsidRPr="0095350E">
                            <w:rPr>
                              <w:rFonts w:ascii="Times New Roman" w:hAnsi="Times New Roman"/>
                              <w:bCs/>
                              <w:iCs/>
                              <w:color w:val="000000"/>
                              <w:sz w:val="24"/>
                              <w:szCs w:val="24"/>
                            </w:rPr>
                            <w:t>Jhon</w:t>
                          </w:r>
                          <w:proofErr w:type="spellEnd"/>
                          <w:r w:rsidRPr="0095350E">
                            <w:rPr>
                              <w:rFonts w:ascii="Times New Roman" w:hAnsi="Times New Roman"/>
                              <w:bCs/>
                              <w:iCs/>
                              <w:color w:val="000000"/>
                              <w:sz w:val="24"/>
                              <w:szCs w:val="24"/>
                            </w:rPr>
                            <w:t xml:space="preserve"> Kelvin</w:t>
                          </w:r>
                          <w:r w:rsidRPr="0095350E">
                            <w:t xml:space="preserve"> </w:t>
                          </w:r>
                          <w:r w:rsidRPr="0095350E">
                            <w:rPr>
                              <w:rFonts w:ascii="Times New Roman" w:hAnsi="Times New Roman"/>
                              <w:bCs/>
                              <w:iCs/>
                              <w:color w:val="000000"/>
                              <w:sz w:val="24"/>
                              <w:szCs w:val="24"/>
                            </w:rPr>
                            <w:t>Ortiz Zambrano</w:t>
                          </w:r>
                          <w:r>
                            <w:rPr>
                              <w:rFonts w:ascii="Times New Roman" w:hAnsi="Times New Roman"/>
                              <w:bCs/>
                              <w:iCs/>
                              <w:color w:val="000000"/>
                              <w:sz w:val="24"/>
                              <w:szCs w:val="24"/>
                            </w:rPr>
                            <w:t>,</w:t>
                          </w:r>
                          <w:r w:rsidRPr="0095350E">
                            <w:rPr>
                              <w:rFonts w:ascii="Times New Roman" w:hAnsi="Times New Roman"/>
                              <w:bCs/>
                              <w:iCs/>
                              <w:color w:val="000000"/>
                              <w:sz w:val="24"/>
                              <w:szCs w:val="24"/>
                            </w:rPr>
                            <w:t xml:space="preserve"> </w:t>
                          </w:r>
                          <w:r w:rsidRPr="0095350E">
                            <w:rPr>
                              <w:rFonts w:ascii="Times New Roman" w:hAnsi="Times New Roman"/>
                              <w:bCs/>
                              <w:iCs/>
                              <w:color w:val="000000"/>
                              <w:sz w:val="24"/>
                              <w:szCs w:val="24"/>
                            </w:rPr>
                            <w:t>Leonardo Flavio</w:t>
                          </w:r>
                          <w:r w:rsidRPr="0095350E">
                            <w:t xml:space="preserve"> </w:t>
                          </w:r>
                          <w:r w:rsidRPr="0095350E">
                            <w:rPr>
                              <w:rFonts w:ascii="Times New Roman" w:hAnsi="Times New Roman"/>
                              <w:bCs/>
                              <w:iCs/>
                              <w:color w:val="000000"/>
                              <w:sz w:val="24"/>
                              <w:szCs w:val="24"/>
                            </w:rPr>
                            <w:t>Suarez Orna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E7B14" id="Rectangle 51" o:spid="_x0000_s1041" style="position:absolute;margin-left:-60.8pt;margin-top:-15.95pt;width:591.4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" filled="f" stroked="f">
              <v:textbox>
                <w:txbxContent>
                  <w:p w14:paraId="59A8395F" w14:textId="6C978E6B" w:rsidR="00F01DEC" w:rsidRDefault="0095350E" w:rsidP="00353A37">
                    <w:pPr>
                      <w:jc w:val="center"/>
                    </w:pPr>
                    <w:r w:rsidRPr="0095350E">
                      <w:rPr>
                        <w:rFonts w:ascii="Times New Roman" w:eastAsia="Times New Roman" w:hAnsi="Times New Roman"/>
                        <w:bCs/>
                        <w:iCs/>
                      </w:rPr>
                      <w:t>Alejandro Xavier Lara Borja</w:t>
                    </w:r>
                    <w:r>
                      <w:rPr>
                        <w:rFonts w:ascii="Times New Roman" w:eastAsia="Times New Roman" w:hAnsi="Times New Roman"/>
                        <w:bCs/>
                        <w:iCs/>
                      </w:rPr>
                      <w:t>,</w:t>
                    </w:r>
                    <w:r w:rsidRPr="0095350E">
                      <w:rPr>
                        <w:rFonts w:ascii="Times New Roman" w:hAnsi="Times New Roman"/>
                        <w:bCs/>
                        <w:iCs/>
                        <w:color w:val="000000"/>
                        <w:sz w:val="24"/>
                        <w:szCs w:val="24"/>
                      </w:rPr>
                      <w:t xml:space="preserve"> </w:t>
                    </w:r>
                    <w:r w:rsidRPr="0095350E">
                      <w:rPr>
                        <w:rFonts w:ascii="Times New Roman" w:hAnsi="Times New Roman"/>
                        <w:bCs/>
                        <w:iCs/>
                        <w:color w:val="000000"/>
                        <w:sz w:val="24"/>
                        <w:szCs w:val="24"/>
                      </w:rPr>
                      <w:t>Wendy Luz</w:t>
                    </w:r>
                    <w:r>
                      <w:rPr>
                        <w:rFonts w:ascii="Times New Roman" w:hAnsi="Times New Roman"/>
                        <w:bCs/>
                        <w:iCs/>
                        <w:color w:val="000000"/>
                        <w:sz w:val="24"/>
                        <w:szCs w:val="24"/>
                      </w:rPr>
                      <w:t xml:space="preserve"> </w:t>
                    </w:r>
                    <w:r w:rsidRPr="0095350E">
                      <w:rPr>
                        <w:rFonts w:ascii="Times New Roman" w:hAnsi="Times New Roman"/>
                        <w:bCs/>
                        <w:iCs/>
                        <w:color w:val="000000"/>
                        <w:sz w:val="24"/>
                        <w:szCs w:val="24"/>
                      </w:rPr>
                      <w:t>Pin Castro</w:t>
                    </w:r>
                    <w:r>
                      <w:rPr>
                        <w:rFonts w:ascii="Times New Roman" w:hAnsi="Times New Roman"/>
                        <w:bCs/>
                        <w:iCs/>
                        <w:color w:val="000000"/>
                        <w:sz w:val="24"/>
                        <w:szCs w:val="24"/>
                      </w:rPr>
                      <w:t>,</w:t>
                    </w:r>
                    <w:r w:rsidRPr="0095350E">
                      <w:rPr>
                        <w:rFonts w:ascii="Times New Roman" w:hAnsi="Times New Roman"/>
                        <w:bCs/>
                        <w:iCs/>
                        <w:color w:val="000000"/>
                        <w:sz w:val="24"/>
                        <w:szCs w:val="24"/>
                      </w:rPr>
                      <w:t xml:space="preserve"> </w:t>
                    </w:r>
                    <w:proofErr w:type="spellStart"/>
                    <w:r w:rsidRPr="0095350E">
                      <w:rPr>
                        <w:rFonts w:ascii="Times New Roman" w:hAnsi="Times New Roman"/>
                        <w:bCs/>
                        <w:iCs/>
                        <w:color w:val="000000"/>
                        <w:sz w:val="24"/>
                        <w:szCs w:val="24"/>
                      </w:rPr>
                      <w:t>Jhon</w:t>
                    </w:r>
                    <w:proofErr w:type="spellEnd"/>
                    <w:r w:rsidRPr="0095350E">
                      <w:rPr>
                        <w:rFonts w:ascii="Times New Roman" w:hAnsi="Times New Roman"/>
                        <w:bCs/>
                        <w:iCs/>
                        <w:color w:val="000000"/>
                        <w:sz w:val="24"/>
                        <w:szCs w:val="24"/>
                      </w:rPr>
                      <w:t xml:space="preserve"> Kelvin</w:t>
                    </w:r>
                    <w:r w:rsidRPr="0095350E">
                      <w:t xml:space="preserve"> </w:t>
                    </w:r>
                    <w:r w:rsidRPr="0095350E">
                      <w:rPr>
                        <w:rFonts w:ascii="Times New Roman" w:hAnsi="Times New Roman"/>
                        <w:bCs/>
                        <w:iCs/>
                        <w:color w:val="000000"/>
                        <w:sz w:val="24"/>
                        <w:szCs w:val="24"/>
                      </w:rPr>
                      <w:t>Ortiz Zambrano</w:t>
                    </w:r>
                    <w:r>
                      <w:rPr>
                        <w:rFonts w:ascii="Times New Roman" w:hAnsi="Times New Roman"/>
                        <w:bCs/>
                        <w:iCs/>
                        <w:color w:val="000000"/>
                        <w:sz w:val="24"/>
                        <w:szCs w:val="24"/>
                      </w:rPr>
                      <w:t>,</w:t>
                    </w:r>
                    <w:r w:rsidRPr="0095350E">
                      <w:rPr>
                        <w:rFonts w:ascii="Times New Roman" w:hAnsi="Times New Roman"/>
                        <w:bCs/>
                        <w:iCs/>
                        <w:color w:val="000000"/>
                        <w:sz w:val="24"/>
                        <w:szCs w:val="24"/>
                      </w:rPr>
                      <w:t xml:space="preserve"> </w:t>
                    </w:r>
                    <w:r w:rsidRPr="0095350E">
                      <w:rPr>
                        <w:rFonts w:ascii="Times New Roman" w:hAnsi="Times New Roman"/>
                        <w:bCs/>
                        <w:iCs/>
                        <w:color w:val="000000"/>
                        <w:sz w:val="24"/>
                        <w:szCs w:val="24"/>
                      </w:rPr>
                      <w:t>Leonardo Flavio</w:t>
                    </w:r>
                    <w:r w:rsidRPr="0095350E">
                      <w:t xml:space="preserve"> </w:t>
                    </w:r>
                    <w:r w:rsidRPr="0095350E">
                      <w:rPr>
                        <w:rFonts w:ascii="Times New Roman" w:hAnsi="Times New Roman"/>
                        <w:bCs/>
                        <w:iCs/>
                        <w:color w:val="000000"/>
                        <w:sz w:val="24"/>
                        <w:szCs w:val="24"/>
                      </w:rPr>
                      <w:t>Suarez Orna</w:t>
                    </w:r>
                  </w:p>
                </w:txbxContent>
              </v:textbox>
            </v:rect>
          </w:pict>
        </mc:Fallback>
      </mc:AlternateContent>
    </w:r>
    <w:r>
      <w:rPr>
        <w:noProof/>
      </w:rPr>
      <w:drawing>
        <wp:anchor distT="0" distB="0" distL="0" distR="0" simplePos="0" relativeHeight="251662336" behindDoc="1" locked="0" layoutInCell="1" allowOverlap="1" wp14:anchorId="02D49F1D" wp14:editId="4622D19D">
          <wp:simplePos x="0" y="0"/>
          <wp:positionH relativeFrom="column">
            <wp:posOffset>-913765</wp:posOffset>
          </wp:positionH>
          <wp:positionV relativeFrom="paragraph">
            <wp:posOffset>-296545</wp:posOffset>
          </wp:positionV>
          <wp:extent cx="7768590" cy="683895"/>
          <wp:effectExtent l="0" t="0" r="0" b="0"/>
          <wp:wrapNone/>
          <wp:docPr id="59" name="Imagen 5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5956C0">
      <w:tab/>
    </w:r>
  </w:p>
  <w:p w14:paraId="1832FB9C" w14:textId="77777777" w:rsidR="005956C0" w:rsidRDefault="005956C0" w:rsidP="005B5D18">
    <w:pPr>
      <w:pStyle w:val="Encabezado"/>
      <w:tabs>
        <w:tab w:val="left" w:pos="503"/>
        <w:tab w:val="right" w:pos="9404"/>
      </w:tabs>
    </w:pPr>
  </w:p>
  <w:p w14:paraId="76EB48C4" w14:textId="77777777" w:rsidR="005956C0" w:rsidRDefault="005956C0" w:rsidP="00C75584">
    <w:pPr>
      <w:pStyle w:val="Encabezado"/>
      <w:tabs>
        <w:tab w:val="clear" w:pos="4419"/>
        <w:tab w:val="clear" w:pos="8838"/>
        <w:tab w:val="left" w:pos="503"/>
        <w:tab w:val="left" w:pos="5835"/>
      </w:tabs>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5997" w14:textId="77777777" w:rsidR="005956C0" w:rsidRDefault="005956C0">
    <w:pPr>
      <w:pStyle w:val="Encabezado"/>
    </w:pPr>
    <w:proofErr w:type="spellStart"/>
    <w:r>
      <w:t>Dddddddddd</w:t>
    </w:r>
    <w:proofErr w:type="spellEnd"/>
  </w:p>
  <w:p w14:paraId="0CEB9A6D" w14:textId="77777777" w:rsidR="005956C0" w:rsidRDefault="005956C0">
    <w:pPr>
      <w:pStyle w:val="Encabezado"/>
    </w:pPr>
    <w:proofErr w:type="spellStart"/>
    <w:r>
      <w:t>eeeeeeeeeeeeeeeee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4"/>
    <w:lvl w:ilvl="0">
      <w:start w:val="1"/>
      <w:numFmt w:val="none"/>
      <w:suff w:val="nothing"/>
      <w:lvlText w:val=""/>
      <w:lvlJc w:val="left"/>
      <w:pPr>
        <w:tabs>
          <w:tab w:val="num" w:pos="0"/>
        </w:tabs>
        <w:ind w:left="432" w:hanging="432"/>
      </w:pPr>
      <w:rPr>
        <w:rFonts w:ascii="Times New Roman" w:eastAsia="Times New Roman" w:hAnsi="Times New Roman" w:cs="Times New Roman"/>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2" w15:restartNumberingAfterBreak="0">
    <w:nsid w:val="077713E6"/>
    <w:multiLevelType w:val="multilevel"/>
    <w:tmpl w:val="435C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AB4812"/>
    <w:multiLevelType w:val="hybridMultilevel"/>
    <w:tmpl w:val="3A8C63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2B96AE3"/>
    <w:multiLevelType w:val="multilevel"/>
    <w:tmpl w:val="A3AC9532"/>
    <w:lvl w:ilvl="0">
      <w:start w:val="1"/>
      <w:numFmt w:val="bullet"/>
      <w:lvlText w:val="o"/>
      <w:lvlJc w:val="left"/>
      <w:pPr>
        <w:ind w:left="720" w:hanging="360"/>
      </w:pPr>
      <w:rPr>
        <w:rFonts w:ascii="Courier New" w:hAnsi="Courier New" w:cs="Courier New" w:hint="default"/>
        <w:sz w:val="21"/>
        <w:szCs w:val="21"/>
        <w:u w:val="none"/>
      </w:rPr>
    </w:lvl>
    <w:lvl w:ilvl="1">
      <w:start w:val="1"/>
      <w:numFmt w:val="bullet"/>
      <w:lvlText w:val="○"/>
      <w:lvlJc w:val="left"/>
      <w:pPr>
        <w:ind w:left="1440" w:hanging="360"/>
      </w:pPr>
      <w:rPr>
        <w:rFonts w:ascii="Roboto" w:eastAsia="Roboto" w:hAnsi="Roboto" w:cs="Roboto"/>
        <w:sz w:val="21"/>
        <w:szCs w:val="21"/>
        <w:u w:val="none"/>
      </w:rPr>
    </w:lvl>
    <w:lvl w:ilvl="2">
      <w:start w:val="1"/>
      <w:numFmt w:val="bullet"/>
      <w:lvlText w:val="■"/>
      <w:lvlJc w:val="left"/>
      <w:pPr>
        <w:ind w:left="2160" w:hanging="360"/>
      </w:pPr>
      <w:rPr>
        <w:rFonts w:ascii="Roboto" w:eastAsia="Roboto" w:hAnsi="Roboto" w:cs="Roboto"/>
        <w:sz w:val="21"/>
        <w:szCs w:val="21"/>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34D28F3"/>
    <w:multiLevelType w:val="hybridMultilevel"/>
    <w:tmpl w:val="4E8CE3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5A7694A"/>
    <w:multiLevelType w:val="hybridMultilevel"/>
    <w:tmpl w:val="33FE0F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A9A4A25"/>
    <w:multiLevelType w:val="multilevel"/>
    <w:tmpl w:val="54A81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86054"/>
    <w:multiLevelType w:val="hybridMultilevel"/>
    <w:tmpl w:val="7B2E2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CF189D"/>
    <w:multiLevelType w:val="hybridMultilevel"/>
    <w:tmpl w:val="D10EBEEE"/>
    <w:lvl w:ilvl="0" w:tplc="08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2D2D422F"/>
    <w:multiLevelType w:val="hybridMultilevel"/>
    <w:tmpl w:val="76F06B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D734DFA"/>
    <w:multiLevelType w:val="hybridMultilevel"/>
    <w:tmpl w:val="760E8A58"/>
    <w:lvl w:ilvl="0" w:tplc="DA4C5192">
      <w:start w:val="1"/>
      <w:numFmt w:val="decimal"/>
      <w:lvlText w:val="%1."/>
      <w:lvlJc w:val="left"/>
      <w:pPr>
        <w:ind w:left="820" w:hanging="360"/>
      </w:pPr>
      <w:rPr>
        <w:rFonts w:ascii="Times New Roman" w:eastAsia="Times New Roman" w:hAnsi="Times New Roman" w:cs="Times New Roman" w:hint="default"/>
        <w:w w:val="100"/>
        <w:sz w:val="24"/>
        <w:szCs w:val="24"/>
        <w:lang w:val="es-ES" w:eastAsia="en-US" w:bidi="ar-SA"/>
      </w:rPr>
    </w:lvl>
    <w:lvl w:ilvl="1" w:tplc="C75482DC">
      <w:numFmt w:val="bullet"/>
      <w:lvlText w:val="•"/>
      <w:lvlJc w:val="left"/>
      <w:pPr>
        <w:ind w:left="1662" w:hanging="360"/>
      </w:pPr>
      <w:rPr>
        <w:rFonts w:hint="default"/>
        <w:lang w:val="es-ES" w:eastAsia="en-US" w:bidi="ar-SA"/>
      </w:rPr>
    </w:lvl>
    <w:lvl w:ilvl="2" w:tplc="992A8158">
      <w:numFmt w:val="bullet"/>
      <w:lvlText w:val="•"/>
      <w:lvlJc w:val="left"/>
      <w:pPr>
        <w:ind w:left="2505" w:hanging="360"/>
      </w:pPr>
      <w:rPr>
        <w:rFonts w:hint="default"/>
        <w:lang w:val="es-ES" w:eastAsia="en-US" w:bidi="ar-SA"/>
      </w:rPr>
    </w:lvl>
    <w:lvl w:ilvl="3" w:tplc="B1F8E3E8">
      <w:numFmt w:val="bullet"/>
      <w:lvlText w:val="•"/>
      <w:lvlJc w:val="left"/>
      <w:pPr>
        <w:ind w:left="3347" w:hanging="360"/>
      </w:pPr>
      <w:rPr>
        <w:rFonts w:hint="default"/>
        <w:lang w:val="es-ES" w:eastAsia="en-US" w:bidi="ar-SA"/>
      </w:rPr>
    </w:lvl>
    <w:lvl w:ilvl="4" w:tplc="DB223A90">
      <w:numFmt w:val="bullet"/>
      <w:lvlText w:val="•"/>
      <w:lvlJc w:val="left"/>
      <w:pPr>
        <w:ind w:left="4190" w:hanging="360"/>
      </w:pPr>
      <w:rPr>
        <w:rFonts w:hint="default"/>
        <w:lang w:val="es-ES" w:eastAsia="en-US" w:bidi="ar-SA"/>
      </w:rPr>
    </w:lvl>
    <w:lvl w:ilvl="5" w:tplc="11CE7B76">
      <w:numFmt w:val="bullet"/>
      <w:lvlText w:val="•"/>
      <w:lvlJc w:val="left"/>
      <w:pPr>
        <w:ind w:left="5033" w:hanging="360"/>
      </w:pPr>
      <w:rPr>
        <w:rFonts w:hint="default"/>
        <w:lang w:val="es-ES" w:eastAsia="en-US" w:bidi="ar-SA"/>
      </w:rPr>
    </w:lvl>
    <w:lvl w:ilvl="6" w:tplc="E9A4BFC4">
      <w:numFmt w:val="bullet"/>
      <w:lvlText w:val="•"/>
      <w:lvlJc w:val="left"/>
      <w:pPr>
        <w:ind w:left="5875" w:hanging="360"/>
      </w:pPr>
      <w:rPr>
        <w:rFonts w:hint="default"/>
        <w:lang w:val="es-ES" w:eastAsia="en-US" w:bidi="ar-SA"/>
      </w:rPr>
    </w:lvl>
    <w:lvl w:ilvl="7" w:tplc="6D3AA6BE">
      <w:numFmt w:val="bullet"/>
      <w:lvlText w:val="•"/>
      <w:lvlJc w:val="left"/>
      <w:pPr>
        <w:ind w:left="6718" w:hanging="360"/>
      </w:pPr>
      <w:rPr>
        <w:rFonts w:hint="default"/>
        <w:lang w:val="es-ES" w:eastAsia="en-US" w:bidi="ar-SA"/>
      </w:rPr>
    </w:lvl>
    <w:lvl w:ilvl="8" w:tplc="49C8EF2C">
      <w:numFmt w:val="bullet"/>
      <w:lvlText w:val="•"/>
      <w:lvlJc w:val="left"/>
      <w:pPr>
        <w:ind w:left="7561" w:hanging="360"/>
      </w:pPr>
      <w:rPr>
        <w:rFonts w:hint="default"/>
        <w:lang w:val="es-ES" w:eastAsia="en-US" w:bidi="ar-SA"/>
      </w:rPr>
    </w:lvl>
  </w:abstractNum>
  <w:abstractNum w:abstractNumId="12" w15:restartNumberingAfterBreak="0">
    <w:nsid w:val="2DF71DE2"/>
    <w:multiLevelType w:val="hybridMultilevel"/>
    <w:tmpl w:val="5C70B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CBE00D1"/>
    <w:multiLevelType w:val="hybridMultilevel"/>
    <w:tmpl w:val="E75C6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4C4070"/>
    <w:multiLevelType w:val="hybridMultilevel"/>
    <w:tmpl w:val="D80830A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535346"/>
    <w:multiLevelType w:val="multilevel"/>
    <w:tmpl w:val="B1F6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8A64D7"/>
    <w:multiLevelType w:val="hybridMultilevel"/>
    <w:tmpl w:val="C2769E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08918C7"/>
    <w:multiLevelType w:val="hybridMultilevel"/>
    <w:tmpl w:val="A5567F5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0D01D96"/>
    <w:multiLevelType w:val="hybridMultilevel"/>
    <w:tmpl w:val="D7AA4C8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ED1D4F"/>
    <w:multiLevelType w:val="hybridMultilevel"/>
    <w:tmpl w:val="08BEE02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15:restartNumberingAfterBreak="0">
    <w:nsid w:val="467079C4"/>
    <w:multiLevelType w:val="hybridMultilevel"/>
    <w:tmpl w:val="57E2D0C8"/>
    <w:lvl w:ilvl="0" w:tplc="2402D49E">
      <w:start w:val="1"/>
      <w:numFmt w:val="decimal"/>
      <w:lvlText w:val="%1."/>
      <w:lvlJc w:val="left"/>
      <w:pPr>
        <w:ind w:left="4305" w:hanging="394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6B56308"/>
    <w:multiLevelType w:val="hybridMultilevel"/>
    <w:tmpl w:val="E2961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92584F"/>
    <w:multiLevelType w:val="hybridMultilevel"/>
    <w:tmpl w:val="33F47A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866365"/>
    <w:multiLevelType w:val="multilevel"/>
    <w:tmpl w:val="E816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0354DC"/>
    <w:multiLevelType w:val="hybridMultilevel"/>
    <w:tmpl w:val="686698B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F053FD3"/>
    <w:multiLevelType w:val="multilevel"/>
    <w:tmpl w:val="8A38F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AA63D0"/>
    <w:multiLevelType w:val="hybridMultilevel"/>
    <w:tmpl w:val="2DA2211E"/>
    <w:lvl w:ilvl="0" w:tplc="BB02B640">
      <w:start w:val="1"/>
      <w:numFmt w:val="decimal"/>
      <w:lvlText w:val="%1."/>
      <w:lvlJc w:val="left"/>
      <w:pPr>
        <w:ind w:left="720" w:hanging="660"/>
      </w:pPr>
      <w:rPr>
        <w:rFonts w:hint="default"/>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27" w15:restartNumberingAfterBreak="0">
    <w:nsid w:val="512005C7"/>
    <w:multiLevelType w:val="hybridMultilevel"/>
    <w:tmpl w:val="FEB40B20"/>
    <w:lvl w:ilvl="0" w:tplc="3DA67B92">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2D631A2"/>
    <w:multiLevelType w:val="multilevel"/>
    <w:tmpl w:val="A47CA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846F7E"/>
    <w:multiLevelType w:val="hybridMultilevel"/>
    <w:tmpl w:val="F8FC7B2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CB712F0"/>
    <w:multiLevelType w:val="hybridMultilevel"/>
    <w:tmpl w:val="62A4A9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3131412"/>
    <w:multiLevelType w:val="hybridMultilevel"/>
    <w:tmpl w:val="6B7E46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36D08AD"/>
    <w:multiLevelType w:val="hybridMultilevel"/>
    <w:tmpl w:val="FC0E36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4F13C8E"/>
    <w:multiLevelType w:val="multilevel"/>
    <w:tmpl w:val="C5865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A17BA0"/>
    <w:multiLevelType w:val="hybridMultilevel"/>
    <w:tmpl w:val="B8A6643A"/>
    <w:lvl w:ilvl="0" w:tplc="5E88FD54">
      <w:start w:val="1"/>
      <w:numFmt w:val="upperRoman"/>
      <w:lvlText w:val="%1."/>
      <w:lvlJc w:val="right"/>
      <w:pPr>
        <w:ind w:left="720" w:hanging="360"/>
      </w:pPr>
      <w:rPr>
        <w:sz w:val="20"/>
        <w:szCs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6ACB335E"/>
    <w:multiLevelType w:val="hybridMultilevel"/>
    <w:tmpl w:val="BF0E2AC8"/>
    <w:lvl w:ilvl="0" w:tplc="C38A278C">
      <w:numFmt w:val="bullet"/>
      <w:lvlText w:val=""/>
      <w:lvlJc w:val="left"/>
      <w:pPr>
        <w:ind w:left="820" w:hanging="360"/>
      </w:pPr>
      <w:rPr>
        <w:rFonts w:hint="default"/>
        <w:w w:val="100"/>
        <w:lang w:val="es-ES" w:eastAsia="en-US" w:bidi="ar-SA"/>
      </w:rPr>
    </w:lvl>
    <w:lvl w:ilvl="1" w:tplc="97CA9ED0">
      <w:numFmt w:val="bullet"/>
      <w:lvlText w:val=""/>
      <w:lvlJc w:val="left"/>
      <w:pPr>
        <w:ind w:left="1528" w:hanging="360"/>
      </w:pPr>
      <w:rPr>
        <w:rFonts w:ascii="Symbol" w:eastAsia="Symbol" w:hAnsi="Symbol" w:cs="Symbol" w:hint="default"/>
        <w:w w:val="100"/>
        <w:sz w:val="24"/>
        <w:szCs w:val="24"/>
        <w:lang w:val="es-ES" w:eastAsia="en-US" w:bidi="ar-SA"/>
      </w:rPr>
    </w:lvl>
    <w:lvl w:ilvl="2" w:tplc="2C7030F8">
      <w:numFmt w:val="bullet"/>
      <w:lvlText w:val="•"/>
      <w:lvlJc w:val="left"/>
      <w:pPr>
        <w:ind w:left="2378" w:hanging="360"/>
      </w:pPr>
      <w:rPr>
        <w:rFonts w:hint="default"/>
        <w:lang w:val="es-ES" w:eastAsia="en-US" w:bidi="ar-SA"/>
      </w:rPr>
    </w:lvl>
    <w:lvl w:ilvl="3" w:tplc="F8E28F8C">
      <w:numFmt w:val="bullet"/>
      <w:lvlText w:val="•"/>
      <w:lvlJc w:val="left"/>
      <w:pPr>
        <w:ind w:left="3236" w:hanging="360"/>
      </w:pPr>
      <w:rPr>
        <w:rFonts w:hint="default"/>
        <w:lang w:val="es-ES" w:eastAsia="en-US" w:bidi="ar-SA"/>
      </w:rPr>
    </w:lvl>
    <w:lvl w:ilvl="4" w:tplc="68944D80">
      <w:numFmt w:val="bullet"/>
      <w:lvlText w:val="•"/>
      <w:lvlJc w:val="left"/>
      <w:pPr>
        <w:ind w:left="4095" w:hanging="360"/>
      </w:pPr>
      <w:rPr>
        <w:rFonts w:hint="default"/>
        <w:lang w:val="es-ES" w:eastAsia="en-US" w:bidi="ar-SA"/>
      </w:rPr>
    </w:lvl>
    <w:lvl w:ilvl="5" w:tplc="7F4E5B82">
      <w:numFmt w:val="bullet"/>
      <w:lvlText w:val="•"/>
      <w:lvlJc w:val="left"/>
      <w:pPr>
        <w:ind w:left="4953" w:hanging="360"/>
      </w:pPr>
      <w:rPr>
        <w:rFonts w:hint="default"/>
        <w:lang w:val="es-ES" w:eastAsia="en-US" w:bidi="ar-SA"/>
      </w:rPr>
    </w:lvl>
    <w:lvl w:ilvl="6" w:tplc="EC448FA2">
      <w:numFmt w:val="bullet"/>
      <w:lvlText w:val="•"/>
      <w:lvlJc w:val="left"/>
      <w:pPr>
        <w:ind w:left="5812" w:hanging="360"/>
      </w:pPr>
      <w:rPr>
        <w:rFonts w:hint="default"/>
        <w:lang w:val="es-ES" w:eastAsia="en-US" w:bidi="ar-SA"/>
      </w:rPr>
    </w:lvl>
    <w:lvl w:ilvl="7" w:tplc="A31E5CFA">
      <w:numFmt w:val="bullet"/>
      <w:lvlText w:val="•"/>
      <w:lvlJc w:val="left"/>
      <w:pPr>
        <w:ind w:left="6670" w:hanging="360"/>
      </w:pPr>
      <w:rPr>
        <w:rFonts w:hint="default"/>
        <w:lang w:val="es-ES" w:eastAsia="en-US" w:bidi="ar-SA"/>
      </w:rPr>
    </w:lvl>
    <w:lvl w:ilvl="8" w:tplc="416E8566">
      <w:numFmt w:val="bullet"/>
      <w:lvlText w:val="•"/>
      <w:lvlJc w:val="left"/>
      <w:pPr>
        <w:ind w:left="7529" w:hanging="360"/>
      </w:pPr>
      <w:rPr>
        <w:rFonts w:hint="default"/>
        <w:lang w:val="es-ES" w:eastAsia="en-US" w:bidi="ar-SA"/>
      </w:rPr>
    </w:lvl>
  </w:abstractNum>
  <w:abstractNum w:abstractNumId="36" w15:restartNumberingAfterBreak="0">
    <w:nsid w:val="6DE709C3"/>
    <w:multiLevelType w:val="hybridMultilevel"/>
    <w:tmpl w:val="623C119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75EE729A"/>
    <w:multiLevelType w:val="hybridMultilevel"/>
    <w:tmpl w:val="B1CC793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89958F5"/>
    <w:multiLevelType w:val="hybridMultilevel"/>
    <w:tmpl w:val="08367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703293"/>
    <w:multiLevelType w:val="hybridMultilevel"/>
    <w:tmpl w:val="B90C85C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34"/>
  </w:num>
  <w:num w:numId="3">
    <w:abstractNumId w:val="12"/>
  </w:num>
  <w:num w:numId="4">
    <w:abstractNumId w:val="24"/>
  </w:num>
  <w:num w:numId="5">
    <w:abstractNumId w:val="37"/>
  </w:num>
  <w:num w:numId="6">
    <w:abstractNumId w:val="20"/>
  </w:num>
  <w:num w:numId="7">
    <w:abstractNumId w:val="9"/>
  </w:num>
  <w:num w:numId="8">
    <w:abstractNumId w:val="39"/>
  </w:num>
  <w:num w:numId="9">
    <w:abstractNumId w:val="27"/>
  </w:num>
  <w:num w:numId="10">
    <w:abstractNumId w:val="29"/>
  </w:num>
  <w:num w:numId="11">
    <w:abstractNumId w:val="36"/>
  </w:num>
  <w:num w:numId="12">
    <w:abstractNumId w:val="19"/>
  </w:num>
  <w:num w:numId="13">
    <w:abstractNumId w:val="17"/>
  </w:num>
  <w:num w:numId="14">
    <w:abstractNumId w:val="26"/>
  </w:num>
  <w:num w:numId="15">
    <w:abstractNumId w:val="3"/>
  </w:num>
  <w:num w:numId="16">
    <w:abstractNumId w:val="6"/>
  </w:num>
  <w:num w:numId="17">
    <w:abstractNumId w:val="2"/>
  </w:num>
  <w:num w:numId="18">
    <w:abstractNumId w:val="15"/>
  </w:num>
  <w:num w:numId="19">
    <w:abstractNumId w:val="23"/>
  </w:num>
  <w:num w:numId="20">
    <w:abstractNumId w:val="31"/>
  </w:num>
  <w:num w:numId="21">
    <w:abstractNumId w:val="16"/>
  </w:num>
  <w:num w:numId="22">
    <w:abstractNumId w:val="5"/>
  </w:num>
  <w:num w:numId="23">
    <w:abstractNumId w:val="11"/>
  </w:num>
  <w:num w:numId="24">
    <w:abstractNumId w:val="35"/>
  </w:num>
  <w:num w:numId="25">
    <w:abstractNumId w:val="10"/>
  </w:num>
  <w:num w:numId="26">
    <w:abstractNumId w:val="30"/>
  </w:num>
  <w:num w:numId="27">
    <w:abstractNumId w:val="7"/>
  </w:num>
  <w:num w:numId="28">
    <w:abstractNumId w:val="28"/>
  </w:num>
  <w:num w:numId="29">
    <w:abstractNumId w:val="25"/>
  </w:num>
  <w:num w:numId="30">
    <w:abstractNumId w:val="4"/>
  </w:num>
  <w:num w:numId="31">
    <w:abstractNumId w:val="32"/>
  </w:num>
  <w:num w:numId="32">
    <w:abstractNumId w:val="33"/>
  </w:num>
  <w:num w:numId="33">
    <w:abstractNumId w:val="14"/>
  </w:num>
  <w:num w:numId="34">
    <w:abstractNumId w:val="13"/>
  </w:num>
  <w:num w:numId="35">
    <w:abstractNumId w:val="18"/>
  </w:num>
  <w:num w:numId="36">
    <w:abstractNumId w:val="38"/>
  </w:num>
  <w:num w:numId="37">
    <w:abstractNumId w:val="21"/>
  </w:num>
  <w:num w:numId="38">
    <w:abstractNumId w:val="22"/>
  </w:num>
  <w:num w:numId="3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0"/>
  <w:activeWritingStyle w:appName="MSWord" w:lang="es-ES" w:vendorID="64" w:dllVersion="6" w:nlCheck="1" w:checkStyle="0"/>
  <w:activeWritingStyle w:appName="MSWord" w:lang="es-EC"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VE" w:vendorID="64" w:dllVersion="6" w:nlCheck="1" w:checkStyle="0"/>
  <w:activeWritingStyle w:appName="MSWord" w:lang="es-AR" w:vendorID="64" w:dllVersion="6" w:nlCheck="1" w:checkStyle="1"/>
  <w:activeWritingStyle w:appName="MSWord" w:lang="es-EC"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VE" w:vendorID="64" w:dllVersion="4096" w:nlCheck="1" w:checkStyle="0"/>
  <w:activeWritingStyle w:appName="MSWord" w:lang="es-MX" w:vendorID="64" w:dllVersion="4096" w:nlCheck="1" w:checkStyle="0"/>
  <w:activeWritingStyle w:appName="MSWord" w:lang="es-PE" w:vendorID="64" w:dllVersion="6" w:nlCheck="1" w:checkStyle="1"/>
  <w:activeWritingStyle w:appName="MSWord" w:lang="fr-FR" w:vendorID="64" w:dllVersion="6" w:nlCheck="1" w:checkStyle="1"/>
  <w:activeWritingStyle w:appName="MSWord" w:lang="es-CO" w:vendorID="64" w:dllVersion="6" w:nlCheck="1" w:checkStyle="1"/>
  <w:activeWritingStyle w:appName="MSWord" w:lang="es-US" w:vendorID="64" w:dllVersion="6" w:nlCheck="1" w:checkStyle="1"/>
  <w:activeWritingStyle w:appName="MSWord" w:lang="es-PR" w:vendorID="64" w:dllVersion="6" w:nlCheck="1" w:checkStyle="1"/>
  <w:activeWritingStyle w:appName="MSWord" w:lang="es-PY" w:vendorID="64" w:dllVersion="6" w:nlCheck="1" w:checkStyle="1"/>
  <w:activeWritingStyle w:appName="MSWord" w:lang="en-GB" w:vendorID="64" w:dllVersion="6" w:nlCheck="1" w:checkStyle="1"/>
  <w:activeWritingStyle w:appName="MSWord" w:lang="es-SV" w:vendorID="64" w:dllVersion="6" w:nlCheck="1" w:checkStyle="1"/>
  <w:activeWritingStyle w:appName="MSWord" w:lang="fr-CH" w:vendorID="64" w:dllVersion="6" w:nlCheck="1" w:checkStyle="1"/>
  <w:activeWritingStyle w:appName="MSWord" w:lang="en-GB" w:vendorID="64" w:dllVersion="4096" w:nlCheck="1" w:checkStyle="0"/>
  <w:activeWritingStyle w:appName="MSWord" w:lang="es-US" w:vendorID="64" w:dllVersion="4096" w:nlCheck="1" w:checkStyle="0"/>
  <w:activeWritingStyle w:appName="MSWord" w:lang="pt-BR" w:vendorID="64" w:dllVersion="0" w:nlCheck="1" w:checkStyle="0"/>
  <w:activeWritingStyle w:appName="MSWord" w:lang="es-PY"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es-419" w:vendorID="64" w:dllVersion="4096" w:nlCheck="1" w:checkStyle="0"/>
  <w:proofState w:spelling="clean" w:grammar="clean"/>
  <w:defaultTabStop w:val="708"/>
  <w:hyphenationZone w:val="425"/>
  <w:evenAndOddHeaders/>
  <w:characterSpacingControl w:val="doNotCompress"/>
  <w:savePreviewPicture/>
  <w:hdrShapeDefaults>
    <o:shapedefaults v:ext="edit" spidmax="2049">
      <o:colormru v:ext="edit" colors="#f9a80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CCC"/>
    <w:rsid w:val="00000570"/>
    <w:rsid w:val="00000B1E"/>
    <w:rsid w:val="00000F1F"/>
    <w:rsid w:val="00001AA9"/>
    <w:rsid w:val="000022AA"/>
    <w:rsid w:val="000024B3"/>
    <w:rsid w:val="00003112"/>
    <w:rsid w:val="000068E3"/>
    <w:rsid w:val="000069C5"/>
    <w:rsid w:val="00006A85"/>
    <w:rsid w:val="00006C1E"/>
    <w:rsid w:val="000076AB"/>
    <w:rsid w:val="00007AB0"/>
    <w:rsid w:val="000110B7"/>
    <w:rsid w:val="00012490"/>
    <w:rsid w:val="000133D5"/>
    <w:rsid w:val="00013A7D"/>
    <w:rsid w:val="00013DE9"/>
    <w:rsid w:val="00015193"/>
    <w:rsid w:val="00015F62"/>
    <w:rsid w:val="000175F9"/>
    <w:rsid w:val="00017EBF"/>
    <w:rsid w:val="00020922"/>
    <w:rsid w:val="00023BB6"/>
    <w:rsid w:val="00023E1F"/>
    <w:rsid w:val="000248ED"/>
    <w:rsid w:val="0002753E"/>
    <w:rsid w:val="00027B53"/>
    <w:rsid w:val="000300E5"/>
    <w:rsid w:val="00030100"/>
    <w:rsid w:val="00030A32"/>
    <w:rsid w:val="0003223E"/>
    <w:rsid w:val="00034BC7"/>
    <w:rsid w:val="00034E32"/>
    <w:rsid w:val="00035EB7"/>
    <w:rsid w:val="00041177"/>
    <w:rsid w:val="000460B9"/>
    <w:rsid w:val="000468E8"/>
    <w:rsid w:val="00047090"/>
    <w:rsid w:val="00047268"/>
    <w:rsid w:val="00047EF1"/>
    <w:rsid w:val="0005050D"/>
    <w:rsid w:val="00050B6C"/>
    <w:rsid w:val="00051063"/>
    <w:rsid w:val="00053C31"/>
    <w:rsid w:val="00061DD8"/>
    <w:rsid w:val="00062561"/>
    <w:rsid w:val="00062B38"/>
    <w:rsid w:val="00062B9B"/>
    <w:rsid w:val="0006389D"/>
    <w:rsid w:val="000640E0"/>
    <w:rsid w:val="00066880"/>
    <w:rsid w:val="000724B5"/>
    <w:rsid w:val="00073657"/>
    <w:rsid w:val="00075B3F"/>
    <w:rsid w:val="00077098"/>
    <w:rsid w:val="00077D48"/>
    <w:rsid w:val="00082E5B"/>
    <w:rsid w:val="00083C4C"/>
    <w:rsid w:val="00083CF9"/>
    <w:rsid w:val="00086816"/>
    <w:rsid w:val="00087754"/>
    <w:rsid w:val="00091FB5"/>
    <w:rsid w:val="00092032"/>
    <w:rsid w:val="00097AF8"/>
    <w:rsid w:val="000A0C31"/>
    <w:rsid w:val="000A1348"/>
    <w:rsid w:val="000A24E6"/>
    <w:rsid w:val="000A3B25"/>
    <w:rsid w:val="000A400E"/>
    <w:rsid w:val="000A4A87"/>
    <w:rsid w:val="000A5087"/>
    <w:rsid w:val="000A541B"/>
    <w:rsid w:val="000A6051"/>
    <w:rsid w:val="000A7110"/>
    <w:rsid w:val="000B0416"/>
    <w:rsid w:val="000B1916"/>
    <w:rsid w:val="000B2D04"/>
    <w:rsid w:val="000B49E6"/>
    <w:rsid w:val="000B60D8"/>
    <w:rsid w:val="000B7B86"/>
    <w:rsid w:val="000C1940"/>
    <w:rsid w:val="000C1FCE"/>
    <w:rsid w:val="000C3690"/>
    <w:rsid w:val="000C40E7"/>
    <w:rsid w:val="000C4F88"/>
    <w:rsid w:val="000C6081"/>
    <w:rsid w:val="000C6188"/>
    <w:rsid w:val="000C68C4"/>
    <w:rsid w:val="000C6ADD"/>
    <w:rsid w:val="000C7D33"/>
    <w:rsid w:val="000D14A8"/>
    <w:rsid w:val="000D1F49"/>
    <w:rsid w:val="000D2575"/>
    <w:rsid w:val="000D299B"/>
    <w:rsid w:val="000D4ED8"/>
    <w:rsid w:val="000D7202"/>
    <w:rsid w:val="000D7AC3"/>
    <w:rsid w:val="000E0CE7"/>
    <w:rsid w:val="000E359C"/>
    <w:rsid w:val="000E3714"/>
    <w:rsid w:val="000E46E0"/>
    <w:rsid w:val="000E6283"/>
    <w:rsid w:val="000F0FD6"/>
    <w:rsid w:val="000F12E4"/>
    <w:rsid w:val="000F1BAE"/>
    <w:rsid w:val="000F4996"/>
    <w:rsid w:val="000F5F8A"/>
    <w:rsid w:val="000F7109"/>
    <w:rsid w:val="00100E6C"/>
    <w:rsid w:val="00101B51"/>
    <w:rsid w:val="001029F6"/>
    <w:rsid w:val="0010550F"/>
    <w:rsid w:val="00105565"/>
    <w:rsid w:val="0011279F"/>
    <w:rsid w:val="00112BE6"/>
    <w:rsid w:val="00115854"/>
    <w:rsid w:val="00116311"/>
    <w:rsid w:val="0012153E"/>
    <w:rsid w:val="00123445"/>
    <w:rsid w:val="001258C2"/>
    <w:rsid w:val="00125EA6"/>
    <w:rsid w:val="00126213"/>
    <w:rsid w:val="001301AB"/>
    <w:rsid w:val="00132D17"/>
    <w:rsid w:val="00134469"/>
    <w:rsid w:val="0013480A"/>
    <w:rsid w:val="001358FE"/>
    <w:rsid w:val="00137C8E"/>
    <w:rsid w:val="001401F2"/>
    <w:rsid w:val="001417A1"/>
    <w:rsid w:val="001425F9"/>
    <w:rsid w:val="001436A7"/>
    <w:rsid w:val="00144100"/>
    <w:rsid w:val="00144549"/>
    <w:rsid w:val="00144836"/>
    <w:rsid w:val="00145942"/>
    <w:rsid w:val="00145A9A"/>
    <w:rsid w:val="00150655"/>
    <w:rsid w:val="00151ED8"/>
    <w:rsid w:val="00152214"/>
    <w:rsid w:val="001527E0"/>
    <w:rsid w:val="00152B1F"/>
    <w:rsid w:val="00153C48"/>
    <w:rsid w:val="00156308"/>
    <w:rsid w:val="00156F7D"/>
    <w:rsid w:val="00157393"/>
    <w:rsid w:val="00157742"/>
    <w:rsid w:val="0016588D"/>
    <w:rsid w:val="00167182"/>
    <w:rsid w:val="001672DF"/>
    <w:rsid w:val="00167E97"/>
    <w:rsid w:val="001715F0"/>
    <w:rsid w:val="00171908"/>
    <w:rsid w:val="00174F31"/>
    <w:rsid w:val="0018165D"/>
    <w:rsid w:val="00181D81"/>
    <w:rsid w:val="00183EB0"/>
    <w:rsid w:val="00185BCE"/>
    <w:rsid w:val="00186350"/>
    <w:rsid w:val="00186933"/>
    <w:rsid w:val="00190950"/>
    <w:rsid w:val="0019212E"/>
    <w:rsid w:val="0019257F"/>
    <w:rsid w:val="00194127"/>
    <w:rsid w:val="00194D67"/>
    <w:rsid w:val="00197606"/>
    <w:rsid w:val="00197950"/>
    <w:rsid w:val="001A0545"/>
    <w:rsid w:val="001A0921"/>
    <w:rsid w:val="001A2534"/>
    <w:rsid w:val="001A52BD"/>
    <w:rsid w:val="001A6EC6"/>
    <w:rsid w:val="001B27BD"/>
    <w:rsid w:val="001B3341"/>
    <w:rsid w:val="001B3A77"/>
    <w:rsid w:val="001B6B2E"/>
    <w:rsid w:val="001B6E9C"/>
    <w:rsid w:val="001B700B"/>
    <w:rsid w:val="001C1687"/>
    <w:rsid w:val="001C1A11"/>
    <w:rsid w:val="001C2584"/>
    <w:rsid w:val="001C39E4"/>
    <w:rsid w:val="001C6596"/>
    <w:rsid w:val="001C6C0E"/>
    <w:rsid w:val="001C6E47"/>
    <w:rsid w:val="001C7250"/>
    <w:rsid w:val="001D05FC"/>
    <w:rsid w:val="001D29B7"/>
    <w:rsid w:val="001D3130"/>
    <w:rsid w:val="001D3732"/>
    <w:rsid w:val="001D38D1"/>
    <w:rsid w:val="001D3D0C"/>
    <w:rsid w:val="001D3FAA"/>
    <w:rsid w:val="001D49CD"/>
    <w:rsid w:val="001D4EBA"/>
    <w:rsid w:val="001D555E"/>
    <w:rsid w:val="001D59D3"/>
    <w:rsid w:val="001D5EE0"/>
    <w:rsid w:val="001D72D0"/>
    <w:rsid w:val="001E079C"/>
    <w:rsid w:val="001E7923"/>
    <w:rsid w:val="001F188F"/>
    <w:rsid w:val="001F1DF8"/>
    <w:rsid w:val="001F203C"/>
    <w:rsid w:val="001F24B1"/>
    <w:rsid w:val="001F25C4"/>
    <w:rsid w:val="001F2A3B"/>
    <w:rsid w:val="001F2D7D"/>
    <w:rsid w:val="001F4527"/>
    <w:rsid w:val="001F64E0"/>
    <w:rsid w:val="001F65BB"/>
    <w:rsid w:val="001F6753"/>
    <w:rsid w:val="001F6DA1"/>
    <w:rsid w:val="001F6F2C"/>
    <w:rsid w:val="001F6FDE"/>
    <w:rsid w:val="001F70D6"/>
    <w:rsid w:val="002026C3"/>
    <w:rsid w:val="002054C8"/>
    <w:rsid w:val="00205F96"/>
    <w:rsid w:val="00207401"/>
    <w:rsid w:val="00207E74"/>
    <w:rsid w:val="00210FBC"/>
    <w:rsid w:val="00211884"/>
    <w:rsid w:val="002118A8"/>
    <w:rsid w:val="00211B85"/>
    <w:rsid w:val="00211E05"/>
    <w:rsid w:val="00212548"/>
    <w:rsid w:val="00215AD1"/>
    <w:rsid w:val="00215AF7"/>
    <w:rsid w:val="00215D06"/>
    <w:rsid w:val="0021656E"/>
    <w:rsid w:val="0022050D"/>
    <w:rsid w:val="00222A8A"/>
    <w:rsid w:val="00222E94"/>
    <w:rsid w:val="002233CA"/>
    <w:rsid w:val="00223546"/>
    <w:rsid w:val="002235B9"/>
    <w:rsid w:val="00224237"/>
    <w:rsid w:val="002244B6"/>
    <w:rsid w:val="00224724"/>
    <w:rsid w:val="00225336"/>
    <w:rsid w:val="002258C4"/>
    <w:rsid w:val="00226C25"/>
    <w:rsid w:val="002270BD"/>
    <w:rsid w:val="00230C51"/>
    <w:rsid w:val="00232AC8"/>
    <w:rsid w:val="00232F52"/>
    <w:rsid w:val="00234302"/>
    <w:rsid w:val="002354D7"/>
    <w:rsid w:val="002354E8"/>
    <w:rsid w:val="00235561"/>
    <w:rsid w:val="00235953"/>
    <w:rsid w:val="0024001F"/>
    <w:rsid w:val="002424FB"/>
    <w:rsid w:val="00242669"/>
    <w:rsid w:val="00243553"/>
    <w:rsid w:val="00243D55"/>
    <w:rsid w:val="00244944"/>
    <w:rsid w:val="002452B3"/>
    <w:rsid w:val="002458DC"/>
    <w:rsid w:val="00250E4F"/>
    <w:rsid w:val="00251B5E"/>
    <w:rsid w:val="00251D36"/>
    <w:rsid w:val="00251DF0"/>
    <w:rsid w:val="00252CEB"/>
    <w:rsid w:val="002541F7"/>
    <w:rsid w:val="00254974"/>
    <w:rsid w:val="0025631D"/>
    <w:rsid w:val="0026042D"/>
    <w:rsid w:val="00260A2B"/>
    <w:rsid w:val="002610ED"/>
    <w:rsid w:val="00262135"/>
    <w:rsid w:val="0026339C"/>
    <w:rsid w:val="002638E0"/>
    <w:rsid w:val="0026404D"/>
    <w:rsid w:val="00265D7F"/>
    <w:rsid w:val="00266503"/>
    <w:rsid w:val="002665D2"/>
    <w:rsid w:val="00270DD9"/>
    <w:rsid w:val="002716E9"/>
    <w:rsid w:val="00271941"/>
    <w:rsid w:val="00272924"/>
    <w:rsid w:val="00274504"/>
    <w:rsid w:val="002746B7"/>
    <w:rsid w:val="00275520"/>
    <w:rsid w:val="002755F7"/>
    <w:rsid w:val="00281D68"/>
    <w:rsid w:val="0028384A"/>
    <w:rsid w:val="0028449C"/>
    <w:rsid w:val="002856B9"/>
    <w:rsid w:val="0028700D"/>
    <w:rsid w:val="00290CFE"/>
    <w:rsid w:val="002951C1"/>
    <w:rsid w:val="002959BF"/>
    <w:rsid w:val="00295CDA"/>
    <w:rsid w:val="0029606A"/>
    <w:rsid w:val="00296B99"/>
    <w:rsid w:val="002A0CA8"/>
    <w:rsid w:val="002A602E"/>
    <w:rsid w:val="002A7014"/>
    <w:rsid w:val="002B0388"/>
    <w:rsid w:val="002B16FD"/>
    <w:rsid w:val="002B1A1C"/>
    <w:rsid w:val="002B315B"/>
    <w:rsid w:val="002B43BD"/>
    <w:rsid w:val="002B465A"/>
    <w:rsid w:val="002B548D"/>
    <w:rsid w:val="002B6ECE"/>
    <w:rsid w:val="002B7BFA"/>
    <w:rsid w:val="002C111C"/>
    <w:rsid w:val="002C12C9"/>
    <w:rsid w:val="002C1C6E"/>
    <w:rsid w:val="002C21AB"/>
    <w:rsid w:val="002C2894"/>
    <w:rsid w:val="002C292A"/>
    <w:rsid w:val="002C5D3B"/>
    <w:rsid w:val="002C7962"/>
    <w:rsid w:val="002C79E1"/>
    <w:rsid w:val="002D13EE"/>
    <w:rsid w:val="002D1977"/>
    <w:rsid w:val="002D3AD2"/>
    <w:rsid w:val="002D5E23"/>
    <w:rsid w:val="002D6109"/>
    <w:rsid w:val="002D67D4"/>
    <w:rsid w:val="002D6A81"/>
    <w:rsid w:val="002E02DF"/>
    <w:rsid w:val="002E090F"/>
    <w:rsid w:val="002E0B96"/>
    <w:rsid w:val="002E0D8F"/>
    <w:rsid w:val="002E122C"/>
    <w:rsid w:val="002E3CF6"/>
    <w:rsid w:val="002E41A5"/>
    <w:rsid w:val="002E4434"/>
    <w:rsid w:val="002E5289"/>
    <w:rsid w:val="002E5657"/>
    <w:rsid w:val="002E61F3"/>
    <w:rsid w:val="002F0B70"/>
    <w:rsid w:val="002F0DD3"/>
    <w:rsid w:val="003043B1"/>
    <w:rsid w:val="00304712"/>
    <w:rsid w:val="00304978"/>
    <w:rsid w:val="00305684"/>
    <w:rsid w:val="00305D30"/>
    <w:rsid w:val="00306BEA"/>
    <w:rsid w:val="00307267"/>
    <w:rsid w:val="00310501"/>
    <w:rsid w:val="00310720"/>
    <w:rsid w:val="00310BB4"/>
    <w:rsid w:val="003111FC"/>
    <w:rsid w:val="003116CD"/>
    <w:rsid w:val="00312309"/>
    <w:rsid w:val="00312712"/>
    <w:rsid w:val="00312EA8"/>
    <w:rsid w:val="00314A25"/>
    <w:rsid w:val="00314E0F"/>
    <w:rsid w:val="0031563E"/>
    <w:rsid w:val="00315815"/>
    <w:rsid w:val="00316042"/>
    <w:rsid w:val="00317747"/>
    <w:rsid w:val="0032072F"/>
    <w:rsid w:val="0032310A"/>
    <w:rsid w:val="003234A9"/>
    <w:rsid w:val="003260C2"/>
    <w:rsid w:val="003270FF"/>
    <w:rsid w:val="00327918"/>
    <w:rsid w:val="00327F8B"/>
    <w:rsid w:val="00330FA2"/>
    <w:rsid w:val="00333B32"/>
    <w:rsid w:val="00333B5C"/>
    <w:rsid w:val="0033615F"/>
    <w:rsid w:val="00336AB9"/>
    <w:rsid w:val="0034071E"/>
    <w:rsid w:val="00342FF6"/>
    <w:rsid w:val="0034660D"/>
    <w:rsid w:val="00347542"/>
    <w:rsid w:val="00347B1A"/>
    <w:rsid w:val="00353A37"/>
    <w:rsid w:val="003545A9"/>
    <w:rsid w:val="00354E80"/>
    <w:rsid w:val="00356BDA"/>
    <w:rsid w:val="00356CCC"/>
    <w:rsid w:val="0035702A"/>
    <w:rsid w:val="00357BCA"/>
    <w:rsid w:val="00361200"/>
    <w:rsid w:val="003630E5"/>
    <w:rsid w:val="00363FAD"/>
    <w:rsid w:val="00364C1D"/>
    <w:rsid w:val="003657C2"/>
    <w:rsid w:val="00366017"/>
    <w:rsid w:val="003665A9"/>
    <w:rsid w:val="00366BFF"/>
    <w:rsid w:val="00366CB3"/>
    <w:rsid w:val="00367672"/>
    <w:rsid w:val="003676A9"/>
    <w:rsid w:val="0037023D"/>
    <w:rsid w:val="003707A5"/>
    <w:rsid w:val="00372C18"/>
    <w:rsid w:val="00373142"/>
    <w:rsid w:val="003739DB"/>
    <w:rsid w:val="003746A0"/>
    <w:rsid w:val="003765B5"/>
    <w:rsid w:val="00380398"/>
    <w:rsid w:val="00382471"/>
    <w:rsid w:val="00384345"/>
    <w:rsid w:val="00385B22"/>
    <w:rsid w:val="00386126"/>
    <w:rsid w:val="00386374"/>
    <w:rsid w:val="00390A3F"/>
    <w:rsid w:val="003916B5"/>
    <w:rsid w:val="00391A3D"/>
    <w:rsid w:val="003944AD"/>
    <w:rsid w:val="00395757"/>
    <w:rsid w:val="00395AEB"/>
    <w:rsid w:val="003961AF"/>
    <w:rsid w:val="003A04CC"/>
    <w:rsid w:val="003A0B1D"/>
    <w:rsid w:val="003A77BE"/>
    <w:rsid w:val="003B0831"/>
    <w:rsid w:val="003B1184"/>
    <w:rsid w:val="003B1B99"/>
    <w:rsid w:val="003B307B"/>
    <w:rsid w:val="003B35C9"/>
    <w:rsid w:val="003B4D04"/>
    <w:rsid w:val="003B50BB"/>
    <w:rsid w:val="003B562D"/>
    <w:rsid w:val="003B5D12"/>
    <w:rsid w:val="003B75A8"/>
    <w:rsid w:val="003C0542"/>
    <w:rsid w:val="003C066D"/>
    <w:rsid w:val="003C104D"/>
    <w:rsid w:val="003C16C0"/>
    <w:rsid w:val="003C1C9E"/>
    <w:rsid w:val="003C5F6F"/>
    <w:rsid w:val="003C74AD"/>
    <w:rsid w:val="003C7BC4"/>
    <w:rsid w:val="003E05C8"/>
    <w:rsid w:val="003E1B2F"/>
    <w:rsid w:val="003E4E84"/>
    <w:rsid w:val="003E57D4"/>
    <w:rsid w:val="003E638F"/>
    <w:rsid w:val="003E75AF"/>
    <w:rsid w:val="003F04D7"/>
    <w:rsid w:val="003F2C6C"/>
    <w:rsid w:val="003F37F4"/>
    <w:rsid w:val="003F4B1A"/>
    <w:rsid w:val="0040020B"/>
    <w:rsid w:val="0040023E"/>
    <w:rsid w:val="00400305"/>
    <w:rsid w:val="004003B4"/>
    <w:rsid w:val="004009D6"/>
    <w:rsid w:val="004014B4"/>
    <w:rsid w:val="004014B8"/>
    <w:rsid w:val="00402728"/>
    <w:rsid w:val="00405309"/>
    <w:rsid w:val="00410606"/>
    <w:rsid w:val="00410D76"/>
    <w:rsid w:val="004115AF"/>
    <w:rsid w:val="004116EC"/>
    <w:rsid w:val="004135CA"/>
    <w:rsid w:val="00413614"/>
    <w:rsid w:val="0041551D"/>
    <w:rsid w:val="0041615E"/>
    <w:rsid w:val="00420D28"/>
    <w:rsid w:val="00420E0A"/>
    <w:rsid w:val="0042208A"/>
    <w:rsid w:val="00426E17"/>
    <w:rsid w:val="004274A4"/>
    <w:rsid w:val="00430424"/>
    <w:rsid w:val="0043064B"/>
    <w:rsid w:val="00431421"/>
    <w:rsid w:val="004318E2"/>
    <w:rsid w:val="00432397"/>
    <w:rsid w:val="00432FB1"/>
    <w:rsid w:val="00435726"/>
    <w:rsid w:val="00436019"/>
    <w:rsid w:val="004362FF"/>
    <w:rsid w:val="0044015F"/>
    <w:rsid w:val="004403CF"/>
    <w:rsid w:val="004418A1"/>
    <w:rsid w:val="00441F39"/>
    <w:rsid w:val="004428B5"/>
    <w:rsid w:val="00442B84"/>
    <w:rsid w:val="004432FB"/>
    <w:rsid w:val="00444929"/>
    <w:rsid w:val="00446010"/>
    <w:rsid w:val="00447072"/>
    <w:rsid w:val="00447280"/>
    <w:rsid w:val="00447F6C"/>
    <w:rsid w:val="00451989"/>
    <w:rsid w:val="004528AD"/>
    <w:rsid w:val="004533BD"/>
    <w:rsid w:val="0045589D"/>
    <w:rsid w:val="004567AD"/>
    <w:rsid w:val="004569E5"/>
    <w:rsid w:val="00457A6C"/>
    <w:rsid w:val="00457BA5"/>
    <w:rsid w:val="00460C34"/>
    <w:rsid w:val="00461818"/>
    <w:rsid w:val="00462341"/>
    <w:rsid w:val="00463F10"/>
    <w:rsid w:val="00466BCA"/>
    <w:rsid w:val="004671C5"/>
    <w:rsid w:val="0047021C"/>
    <w:rsid w:val="00470AE0"/>
    <w:rsid w:val="0047329E"/>
    <w:rsid w:val="00474529"/>
    <w:rsid w:val="00476351"/>
    <w:rsid w:val="0047717E"/>
    <w:rsid w:val="00481732"/>
    <w:rsid w:val="00481F87"/>
    <w:rsid w:val="004820B8"/>
    <w:rsid w:val="0048283A"/>
    <w:rsid w:val="004838C0"/>
    <w:rsid w:val="00483BAB"/>
    <w:rsid w:val="0048577C"/>
    <w:rsid w:val="00485B6B"/>
    <w:rsid w:val="004873C5"/>
    <w:rsid w:val="00487C67"/>
    <w:rsid w:val="00490BFA"/>
    <w:rsid w:val="00491036"/>
    <w:rsid w:val="00491DE7"/>
    <w:rsid w:val="00493903"/>
    <w:rsid w:val="00494165"/>
    <w:rsid w:val="004A165E"/>
    <w:rsid w:val="004A192A"/>
    <w:rsid w:val="004A1F65"/>
    <w:rsid w:val="004A3E1E"/>
    <w:rsid w:val="004A44AF"/>
    <w:rsid w:val="004A4752"/>
    <w:rsid w:val="004A4A1A"/>
    <w:rsid w:val="004A6776"/>
    <w:rsid w:val="004B0CF5"/>
    <w:rsid w:val="004B2016"/>
    <w:rsid w:val="004B2A6B"/>
    <w:rsid w:val="004B4F03"/>
    <w:rsid w:val="004B6006"/>
    <w:rsid w:val="004B6E91"/>
    <w:rsid w:val="004B746C"/>
    <w:rsid w:val="004C052D"/>
    <w:rsid w:val="004C30F2"/>
    <w:rsid w:val="004C55CC"/>
    <w:rsid w:val="004D03FD"/>
    <w:rsid w:val="004D1BD2"/>
    <w:rsid w:val="004D3832"/>
    <w:rsid w:val="004D4510"/>
    <w:rsid w:val="004D4DC9"/>
    <w:rsid w:val="004D512E"/>
    <w:rsid w:val="004D559A"/>
    <w:rsid w:val="004D7ED1"/>
    <w:rsid w:val="004E07D4"/>
    <w:rsid w:val="004E0D86"/>
    <w:rsid w:val="004E1BD8"/>
    <w:rsid w:val="004E2FB1"/>
    <w:rsid w:val="004E3432"/>
    <w:rsid w:val="004E4DE6"/>
    <w:rsid w:val="004E50C1"/>
    <w:rsid w:val="004F01EC"/>
    <w:rsid w:val="004F1686"/>
    <w:rsid w:val="004F1823"/>
    <w:rsid w:val="004F193C"/>
    <w:rsid w:val="004F1D1F"/>
    <w:rsid w:val="004F27FD"/>
    <w:rsid w:val="004F476A"/>
    <w:rsid w:val="004F5EA3"/>
    <w:rsid w:val="004F7B21"/>
    <w:rsid w:val="00500958"/>
    <w:rsid w:val="00502023"/>
    <w:rsid w:val="00502C56"/>
    <w:rsid w:val="00503378"/>
    <w:rsid w:val="00503981"/>
    <w:rsid w:val="0050463B"/>
    <w:rsid w:val="00504988"/>
    <w:rsid w:val="00504EB9"/>
    <w:rsid w:val="00505652"/>
    <w:rsid w:val="00506982"/>
    <w:rsid w:val="00510AD7"/>
    <w:rsid w:val="00510CAD"/>
    <w:rsid w:val="00512E8B"/>
    <w:rsid w:val="00512FA8"/>
    <w:rsid w:val="00513042"/>
    <w:rsid w:val="00513F21"/>
    <w:rsid w:val="00515535"/>
    <w:rsid w:val="00516658"/>
    <w:rsid w:val="00516CDA"/>
    <w:rsid w:val="00520908"/>
    <w:rsid w:val="0052123D"/>
    <w:rsid w:val="00522B9C"/>
    <w:rsid w:val="005233DD"/>
    <w:rsid w:val="00523FA9"/>
    <w:rsid w:val="00531A65"/>
    <w:rsid w:val="00533518"/>
    <w:rsid w:val="00533FBE"/>
    <w:rsid w:val="005344B2"/>
    <w:rsid w:val="00534DF3"/>
    <w:rsid w:val="00535892"/>
    <w:rsid w:val="0053631D"/>
    <w:rsid w:val="005375B4"/>
    <w:rsid w:val="00540E54"/>
    <w:rsid w:val="00541231"/>
    <w:rsid w:val="00541804"/>
    <w:rsid w:val="005424B7"/>
    <w:rsid w:val="00542DD4"/>
    <w:rsid w:val="00545C92"/>
    <w:rsid w:val="005465A1"/>
    <w:rsid w:val="00547E6E"/>
    <w:rsid w:val="0055268A"/>
    <w:rsid w:val="00555229"/>
    <w:rsid w:val="00555441"/>
    <w:rsid w:val="00556902"/>
    <w:rsid w:val="0055793D"/>
    <w:rsid w:val="00560943"/>
    <w:rsid w:val="00562B8A"/>
    <w:rsid w:val="005637AF"/>
    <w:rsid w:val="00566C7E"/>
    <w:rsid w:val="005670E4"/>
    <w:rsid w:val="00570B62"/>
    <w:rsid w:val="005719AB"/>
    <w:rsid w:val="00573C85"/>
    <w:rsid w:val="00574A94"/>
    <w:rsid w:val="00577F30"/>
    <w:rsid w:val="0058126D"/>
    <w:rsid w:val="005835B0"/>
    <w:rsid w:val="005846EB"/>
    <w:rsid w:val="00584988"/>
    <w:rsid w:val="00585B30"/>
    <w:rsid w:val="00586BCF"/>
    <w:rsid w:val="005878FE"/>
    <w:rsid w:val="00592454"/>
    <w:rsid w:val="00592C12"/>
    <w:rsid w:val="00592D2A"/>
    <w:rsid w:val="005940B5"/>
    <w:rsid w:val="005956C0"/>
    <w:rsid w:val="005959B5"/>
    <w:rsid w:val="00597350"/>
    <w:rsid w:val="005A437B"/>
    <w:rsid w:val="005A6675"/>
    <w:rsid w:val="005B0007"/>
    <w:rsid w:val="005B0BDF"/>
    <w:rsid w:val="005B1F18"/>
    <w:rsid w:val="005B3467"/>
    <w:rsid w:val="005B419E"/>
    <w:rsid w:val="005B43AA"/>
    <w:rsid w:val="005B4549"/>
    <w:rsid w:val="005B4F39"/>
    <w:rsid w:val="005B4F77"/>
    <w:rsid w:val="005B569E"/>
    <w:rsid w:val="005B5B55"/>
    <w:rsid w:val="005B5D18"/>
    <w:rsid w:val="005B63C8"/>
    <w:rsid w:val="005C13BB"/>
    <w:rsid w:val="005C6CC4"/>
    <w:rsid w:val="005C6EEF"/>
    <w:rsid w:val="005D097A"/>
    <w:rsid w:val="005D20EE"/>
    <w:rsid w:val="005D22A6"/>
    <w:rsid w:val="005D3B35"/>
    <w:rsid w:val="005D58C8"/>
    <w:rsid w:val="005D7568"/>
    <w:rsid w:val="005E1A29"/>
    <w:rsid w:val="005E751B"/>
    <w:rsid w:val="005E753A"/>
    <w:rsid w:val="005E76BA"/>
    <w:rsid w:val="005F051E"/>
    <w:rsid w:val="005F0590"/>
    <w:rsid w:val="005F38DB"/>
    <w:rsid w:val="005F3DE3"/>
    <w:rsid w:val="005F5C99"/>
    <w:rsid w:val="005F60B6"/>
    <w:rsid w:val="005F63FB"/>
    <w:rsid w:val="005F66B7"/>
    <w:rsid w:val="005F7898"/>
    <w:rsid w:val="00600571"/>
    <w:rsid w:val="00600693"/>
    <w:rsid w:val="006017A0"/>
    <w:rsid w:val="00620005"/>
    <w:rsid w:val="00620951"/>
    <w:rsid w:val="0062248B"/>
    <w:rsid w:val="00622E85"/>
    <w:rsid w:val="006238E7"/>
    <w:rsid w:val="00623F69"/>
    <w:rsid w:val="00627E85"/>
    <w:rsid w:val="00633A8B"/>
    <w:rsid w:val="006347E4"/>
    <w:rsid w:val="00635388"/>
    <w:rsid w:val="00637ACC"/>
    <w:rsid w:val="006422A6"/>
    <w:rsid w:val="00643806"/>
    <w:rsid w:val="0064407E"/>
    <w:rsid w:val="0064411C"/>
    <w:rsid w:val="00644614"/>
    <w:rsid w:val="0064469A"/>
    <w:rsid w:val="00647988"/>
    <w:rsid w:val="00652358"/>
    <w:rsid w:val="006542F5"/>
    <w:rsid w:val="00654781"/>
    <w:rsid w:val="00655BFA"/>
    <w:rsid w:val="00656C3B"/>
    <w:rsid w:val="00656D23"/>
    <w:rsid w:val="00661240"/>
    <w:rsid w:val="00662618"/>
    <w:rsid w:val="00662A4F"/>
    <w:rsid w:val="00663DD8"/>
    <w:rsid w:val="00664655"/>
    <w:rsid w:val="0066478E"/>
    <w:rsid w:val="00666632"/>
    <w:rsid w:val="006668EF"/>
    <w:rsid w:val="006673EB"/>
    <w:rsid w:val="006703F5"/>
    <w:rsid w:val="006706ED"/>
    <w:rsid w:val="00670E5B"/>
    <w:rsid w:val="0067140E"/>
    <w:rsid w:val="006715D2"/>
    <w:rsid w:val="00673440"/>
    <w:rsid w:val="00673C7F"/>
    <w:rsid w:val="00673E42"/>
    <w:rsid w:val="00675FA7"/>
    <w:rsid w:val="00676DC5"/>
    <w:rsid w:val="0068138A"/>
    <w:rsid w:val="006821BE"/>
    <w:rsid w:val="006829F3"/>
    <w:rsid w:val="00683CC4"/>
    <w:rsid w:val="00684183"/>
    <w:rsid w:val="00686203"/>
    <w:rsid w:val="006865C4"/>
    <w:rsid w:val="00687F32"/>
    <w:rsid w:val="0069100E"/>
    <w:rsid w:val="00691EDD"/>
    <w:rsid w:val="00694EF3"/>
    <w:rsid w:val="00695AA4"/>
    <w:rsid w:val="00696A7F"/>
    <w:rsid w:val="006976A8"/>
    <w:rsid w:val="006A09B5"/>
    <w:rsid w:val="006A1399"/>
    <w:rsid w:val="006A1672"/>
    <w:rsid w:val="006A1783"/>
    <w:rsid w:val="006A36DF"/>
    <w:rsid w:val="006A3ACD"/>
    <w:rsid w:val="006A3FC1"/>
    <w:rsid w:val="006A628D"/>
    <w:rsid w:val="006A6EFA"/>
    <w:rsid w:val="006A783B"/>
    <w:rsid w:val="006B01B0"/>
    <w:rsid w:val="006B047B"/>
    <w:rsid w:val="006B2347"/>
    <w:rsid w:val="006B2ED6"/>
    <w:rsid w:val="006B4DCE"/>
    <w:rsid w:val="006B5DFE"/>
    <w:rsid w:val="006B5E14"/>
    <w:rsid w:val="006B7DFC"/>
    <w:rsid w:val="006C034E"/>
    <w:rsid w:val="006C209B"/>
    <w:rsid w:val="006C310F"/>
    <w:rsid w:val="006C4FA0"/>
    <w:rsid w:val="006C5D56"/>
    <w:rsid w:val="006C6AD0"/>
    <w:rsid w:val="006C6D94"/>
    <w:rsid w:val="006C7B09"/>
    <w:rsid w:val="006D000C"/>
    <w:rsid w:val="006D0C06"/>
    <w:rsid w:val="006D136F"/>
    <w:rsid w:val="006D2D2A"/>
    <w:rsid w:val="006D57FE"/>
    <w:rsid w:val="006D61E5"/>
    <w:rsid w:val="006E3818"/>
    <w:rsid w:val="006E43D5"/>
    <w:rsid w:val="006E45AC"/>
    <w:rsid w:val="006E6922"/>
    <w:rsid w:val="006F01F0"/>
    <w:rsid w:val="006F0F73"/>
    <w:rsid w:val="006F1B76"/>
    <w:rsid w:val="006F2C3B"/>
    <w:rsid w:val="006F38A2"/>
    <w:rsid w:val="006F3C04"/>
    <w:rsid w:val="006F484E"/>
    <w:rsid w:val="006F4A6F"/>
    <w:rsid w:val="006F59CE"/>
    <w:rsid w:val="006F6029"/>
    <w:rsid w:val="0070113B"/>
    <w:rsid w:val="007022D8"/>
    <w:rsid w:val="007024BE"/>
    <w:rsid w:val="0070471D"/>
    <w:rsid w:val="00704DBA"/>
    <w:rsid w:val="007053A3"/>
    <w:rsid w:val="0070548B"/>
    <w:rsid w:val="00705E5E"/>
    <w:rsid w:val="00707315"/>
    <w:rsid w:val="0071064D"/>
    <w:rsid w:val="0071278C"/>
    <w:rsid w:val="0071288B"/>
    <w:rsid w:val="00713B57"/>
    <w:rsid w:val="007141AA"/>
    <w:rsid w:val="00717151"/>
    <w:rsid w:val="00721FC4"/>
    <w:rsid w:val="00722321"/>
    <w:rsid w:val="00724AB1"/>
    <w:rsid w:val="007262D5"/>
    <w:rsid w:val="00727E91"/>
    <w:rsid w:val="00731720"/>
    <w:rsid w:val="00732F3E"/>
    <w:rsid w:val="00732FF7"/>
    <w:rsid w:val="007333AE"/>
    <w:rsid w:val="00733EA4"/>
    <w:rsid w:val="007354FC"/>
    <w:rsid w:val="00736D72"/>
    <w:rsid w:val="0073720E"/>
    <w:rsid w:val="00737CC1"/>
    <w:rsid w:val="00741C3D"/>
    <w:rsid w:val="00742E07"/>
    <w:rsid w:val="00744FEB"/>
    <w:rsid w:val="00745191"/>
    <w:rsid w:val="007459F3"/>
    <w:rsid w:val="007467F9"/>
    <w:rsid w:val="00750EFD"/>
    <w:rsid w:val="00751D46"/>
    <w:rsid w:val="00753803"/>
    <w:rsid w:val="007565E9"/>
    <w:rsid w:val="00756AED"/>
    <w:rsid w:val="00756B2E"/>
    <w:rsid w:val="007623BB"/>
    <w:rsid w:val="00763601"/>
    <w:rsid w:val="00765BAA"/>
    <w:rsid w:val="007707C8"/>
    <w:rsid w:val="007708D2"/>
    <w:rsid w:val="007712B8"/>
    <w:rsid w:val="0077292C"/>
    <w:rsid w:val="00772CE4"/>
    <w:rsid w:val="00773F7A"/>
    <w:rsid w:val="00775C9E"/>
    <w:rsid w:val="00775E06"/>
    <w:rsid w:val="00775ED4"/>
    <w:rsid w:val="007763A2"/>
    <w:rsid w:val="007800AF"/>
    <w:rsid w:val="007812D4"/>
    <w:rsid w:val="00781A57"/>
    <w:rsid w:val="00781A8C"/>
    <w:rsid w:val="00781EA4"/>
    <w:rsid w:val="007826CF"/>
    <w:rsid w:val="0078274E"/>
    <w:rsid w:val="00783CDE"/>
    <w:rsid w:val="0078646B"/>
    <w:rsid w:val="00786B70"/>
    <w:rsid w:val="0078788B"/>
    <w:rsid w:val="00790974"/>
    <w:rsid w:val="00792277"/>
    <w:rsid w:val="0079261F"/>
    <w:rsid w:val="00797722"/>
    <w:rsid w:val="007A0E56"/>
    <w:rsid w:val="007A47AF"/>
    <w:rsid w:val="007A5701"/>
    <w:rsid w:val="007A5D7B"/>
    <w:rsid w:val="007A6487"/>
    <w:rsid w:val="007B2636"/>
    <w:rsid w:val="007B2E3F"/>
    <w:rsid w:val="007B2F1B"/>
    <w:rsid w:val="007B40F9"/>
    <w:rsid w:val="007B5A26"/>
    <w:rsid w:val="007B76BF"/>
    <w:rsid w:val="007C0770"/>
    <w:rsid w:val="007C35AB"/>
    <w:rsid w:val="007C7896"/>
    <w:rsid w:val="007C7F06"/>
    <w:rsid w:val="007D27C6"/>
    <w:rsid w:val="007D28DA"/>
    <w:rsid w:val="007D3AA4"/>
    <w:rsid w:val="007D455C"/>
    <w:rsid w:val="007D50F1"/>
    <w:rsid w:val="007E0A47"/>
    <w:rsid w:val="007E0B17"/>
    <w:rsid w:val="007E16DE"/>
    <w:rsid w:val="007E3D61"/>
    <w:rsid w:val="007E4409"/>
    <w:rsid w:val="007E4656"/>
    <w:rsid w:val="007E5E40"/>
    <w:rsid w:val="007E5E6A"/>
    <w:rsid w:val="007E6AED"/>
    <w:rsid w:val="007E7006"/>
    <w:rsid w:val="007F17F8"/>
    <w:rsid w:val="007F1DE4"/>
    <w:rsid w:val="007F35C5"/>
    <w:rsid w:val="007F3C9B"/>
    <w:rsid w:val="007F4814"/>
    <w:rsid w:val="007F58AD"/>
    <w:rsid w:val="007F5E49"/>
    <w:rsid w:val="007F676C"/>
    <w:rsid w:val="007F6CA8"/>
    <w:rsid w:val="0080011D"/>
    <w:rsid w:val="00800821"/>
    <w:rsid w:val="00800B4F"/>
    <w:rsid w:val="00801162"/>
    <w:rsid w:val="00801807"/>
    <w:rsid w:val="00803823"/>
    <w:rsid w:val="008045F1"/>
    <w:rsid w:val="00805322"/>
    <w:rsid w:val="0080679B"/>
    <w:rsid w:val="00811081"/>
    <w:rsid w:val="008110E2"/>
    <w:rsid w:val="008112B4"/>
    <w:rsid w:val="008140EE"/>
    <w:rsid w:val="00814AEF"/>
    <w:rsid w:val="0081793C"/>
    <w:rsid w:val="008179B8"/>
    <w:rsid w:val="00824CD9"/>
    <w:rsid w:val="00824FDC"/>
    <w:rsid w:val="00827D2F"/>
    <w:rsid w:val="008304DE"/>
    <w:rsid w:val="00832E46"/>
    <w:rsid w:val="00833BBF"/>
    <w:rsid w:val="00835419"/>
    <w:rsid w:val="00836176"/>
    <w:rsid w:val="00836C13"/>
    <w:rsid w:val="00836F75"/>
    <w:rsid w:val="008371C9"/>
    <w:rsid w:val="00840203"/>
    <w:rsid w:val="0084031F"/>
    <w:rsid w:val="008408C9"/>
    <w:rsid w:val="008419C6"/>
    <w:rsid w:val="00842D39"/>
    <w:rsid w:val="00844173"/>
    <w:rsid w:val="00844A75"/>
    <w:rsid w:val="00844BEF"/>
    <w:rsid w:val="0084693C"/>
    <w:rsid w:val="00846F06"/>
    <w:rsid w:val="00847BFC"/>
    <w:rsid w:val="00857A3F"/>
    <w:rsid w:val="00860F57"/>
    <w:rsid w:val="0086132F"/>
    <w:rsid w:val="00861A2E"/>
    <w:rsid w:val="00862B9D"/>
    <w:rsid w:val="008644B7"/>
    <w:rsid w:val="00864D11"/>
    <w:rsid w:val="00865845"/>
    <w:rsid w:val="00866659"/>
    <w:rsid w:val="00867EA1"/>
    <w:rsid w:val="00870F11"/>
    <w:rsid w:val="0087152C"/>
    <w:rsid w:val="008741C4"/>
    <w:rsid w:val="00874859"/>
    <w:rsid w:val="00874D49"/>
    <w:rsid w:val="00874D9E"/>
    <w:rsid w:val="008761F2"/>
    <w:rsid w:val="008805F5"/>
    <w:rsid w:val="008836D2"/>
    <w:rsid w:val="00883B2A"/>
    <w:rsid w:val="008859BA"/>
    <w:rsid w:val="00886722"/>
    <w:rsid w:val="0088778C"/>
    <w:rsid w:val="00887FA8"/>
    <w:rsid w:val="008911DB"/>
    <w:rsid w:val="00891B9E"/>
    <w:rsid w:val="00892E60"/>
    <w:rsid w:val="00894170"/>
    <w:rsid w:val="0089588B"/>
    <w:rsid w:val="00896937"/>
    <w:rsid w:val="00896967"/>
    <w:rsid w:val="00897BAF"/>
    <w:rsid w:val="008A1BDB"/>
    <w:rsid w:val="008A2520"/>
    <w:rsid w:val="008A38A4"/>
    <w:rsid w:val="008A4F65"/>
    <w:rsid w:val="008A5313"/>
    <w:rsid w:val="008A548F"/>
    <w:rsid w:val="008A56FC"/>
    <w:rsid w:val="008B07C4"/>
    <w:rsid w:val="008B2E02"/>
    <w:rsid w:val="008B3780"/>
    <w:rsid w:val="008B379D"/>
    <w:rsid w:val="008B3D9D"/>
    <w:rsid w:val="008B5828"/>
    <w:rsid w:val="008B6829"/>
    <w:rsid w:val="008B740B"/>
    <w:rsid w:val="008B77A5"/>
    <w:rsid w:val="008C05C3"/>
    <w:rsid w:val="008C1FE4"/>
    <w:rsid w:val="008C25B2"/>
    <w:rsid w:val="008C4AB6"/>
    <w:rsid w:val="008C5B52"/>
    <w:rsid w:val="008C714B"/>
    <w:rsid w:val="008D1909"/>
    <w:rsid w:val="008D255B"/>
    <w:rsid w:val="008D2916"/>
    <w:rsid w:val="008D47F6"/>
    <w:rsid w:val="008D6EF0"/>
    <w:rsid w:val="008D7C6C"/>
    <w:rsid w:val="008E05F0"/>
    <w:rsid w:val="008E0D91"/>
    <w:rsid w:val="008E4AF8"/>
    <w:rsid w:val="008E6275"/>
    <w:rsid w:val="008F0370"/>
    <w:rsid w:val="008F0C46"/>
    <w:rsid w:val="008F0F22"/>
    <w:rsid w:val="008F10C2"/>
    <w:rsid w:val="008F2E58"/>
    <w:rsid w:val="008F4874"/>
    <w:rsid w:val="008F487C"/>
    <w:rsid w:val="008F5E6E"/>
    <w:rsid w:val="008F6617"/>
    <w:rsid w:val="008F71F0"/>
    <w:rsid w:val="008F75DF"/>
    <w:rsid w:val="0090511A"/>
    <w:rsid w:val="009066AC"/>
    <w:rsid w:val="0090714F"/>
    <w:rsid w:val="00907C6E"/>
    <w:rsid w:val="00911D2A"/>
    <w:rsid w:val="009127D4"/>
    <w:rsid w:val="00912A77"/>
    <w:rsid w:val="009147A6"/>
    <w:rsid w:val="00915B88"/>
    <w:rsid w:val="00915C01"/>
    <w:rsid w:val="0091676C"/>
    <w:rsid w:val="00916E27"/>
    <w:rsid w:val="0091729E"/>
    <w:rsid w:val="009205A2"/>
    <w:rsid w:val="009211B3"/>
    <w:rsid w:val="0092201A"/>
    <w:rsid w:val="0092292B"/>
    <w:rsid w:val="009232EA"/>
    <w:rsid w:val="0092334F"/>
    <w:rsid w:val="00923764"/>
    <w:rsid w:val="009243BF"/>
    <w:rsid w:val="009247B4"/>
    <w:rsid w:val="00925699"/>
    <w:rsid w:val="00927B29"/>
    <w:rsid w:val="00927C92"/>
    <w:rsid w:val="009360E1"/>
    <w:rsid w:val="0094054A"/>
    <w:rsid w:val="009416DC"/>
    <w:rsid w:val="00941F29"/>
    <w:rsid w:val="00941FDA"/>
    <w:rsid w:val="00944E6F"/>
    <w:rsid w:val="00946292"/>
    <w:rsid w:val="009462E3"/>
    <w:rsid w:val="0094770B"/>
    <w:rsid w:val="009510E0"/>
    <w:rsid w:val="0095350E"/>
    <w:rsid w:val="00953F95"/>
    <w:rsid w:val="009564C7"/>
    <w:rsid w:val="00956C35"/>
    <w:rsid w:val="00957215"/>
    <w:rsid w:val="00960ACA"/>
    <w:rsid w:val="00960D94"/>
    <w:rsid w:val="009612D1"/>
    <w:rsid w:val="00962D26"/>
    <w:rsid w:val="0096520E"/>
    <w:rsid w:val="009666A8"/>
    <w:rsid w:val="00970BA2"/>
    <w:rsid w:val="0097150E"/>
    <w:rsid w:val="00971F6F"/>
    <w:rsid w:val="009727B8"/>
    <w:rsid w:val="00975424"/>
    <w:rsid w:val="00975480"/>
    <w:rsid w:val="00975C46"/>
    <w:rsid w:val="00975C51"/>
    <w:rsid w:val="009762C1"/>
    <w:rsid w:val="009772BE"/>
    <w:rsid w:val="0098029C"/>
    <w:rsid w:val="009804FE"/>
    <w:rsid w:val="0098084A"/>
    <w:rsid w:val="009815DF"/>
    <w:rsid w:val="00983B55"/>
    <w:rsid w:val="009852D5"/>
    <w:rsid w:val="009854A3"/>
    <w:rsid w:val="009912DA"/>
    <w:rsid w:val="009939DB"/>
    <w:rsid w:val="00995F16"/>
    <w:rsid w:val="00996390"/>
    <w:rsid w:val="009963E7"/>
    <w:rsid w:val="009968BC"/>
    <w:rsid w:val="00997970"/>
    <w:rsid w:val="009A28E1"/>
    <w:rsid w:val="009A4BCD"/>
    <w:rsid w:val="009A5751"/>
    <w:rsid w:val="009A632F"/>
    <w:rsid w:val="009A722B"/>
    <w:rsid w:val="009B221D"/>
    <w:rsid w:val="009B453D"/>
    <w:rsid w:val="009B4D75"/>
    <w:rsid w:val="009B5A6D"/>
    <w:rsid w:val="009B6A0E"/>
    <w:rsid w:val="009B74AC"/>
    <w:rsid w:val="009C0509"/>
    <w:rsid w:val="009C2CE8"/>
    <w:rsid w:val="009C5223"/>
    <w:rsid w:val="009C591C"/>
    <w:rsid w:val="009C72D6"/>
    <w:rsid w:val="009D0704"/>
    <w:rsid w:val="009D747A"/>
    <w:rsid w:val="009D7950"/>
    <w:rsid w:val="009D7F1F"/>
    <w:rsid w:val="009D7F4A"/>
    <w:rsid w:val="009E1494"/>
    <w:rsid w:val="009E4564"/>
    <w:rsid w:val="009E4B54"/>
    <w:rsid w:val="009E6A70"/>
    <w:rsid w:val="009E7094"/>
    <w:rsid w:val="009F01D0"/>
    <w:rsid w:val="009F0F7E"/>
    <w:rsid w:val="009F0FB6"/>
    <w:rsid w:val="009F0FE4"/>
    <w:rsid w:val="009F20AB"/>
    <w:rsid w:val="009F27F2"/>
    <w:rsid w:val="009F31D7"/>
    <w:rsid w:val="009F3909"/>
    <w:rsid w:val="009F3CAE"/>
    <w:rsid w:val="009F44FD"/>
    <w:rsid w:val="009F4659"/>
    <w:rsid w:val="009F61E3"/>
    <w:rsid w:val="009F644C"/>
    <w:rsid w:val="009F687D"/>
    <w:rsid w:val="009F6D71"/>
    <w:rsid w:val="00A004B2"/>
    <w:rsid w:val="00A027E0"/>
    <w:rsid w:val="00A035A4"/>
    <w:rsid w:val="00A05D25"/>
    <w:rsid w:val="00A0635C"/>
    <w:rsid w:val="00A07909"/>
    <w:rsid w:val="00A12C09"/>
    <w:rsid w:val="00A12C14"/>
    <w:rsid w:val="00A137CE"/>
    <w:rsid w:val="00A13E8E"/>
    <w:rsid w:val="00A14053"/>
    <w:rsid w:val="00A141B1"/>
    <w:rsid w:val="00A147FE"/>
    <w:rsid w:val="00A169DD"/>
    <w:rsid w:val="00A2109F"/>
    <w:rsid w:val="00A21289"/>
    <w:rsid w:val="00A21ABC"/>
    <w:rsid w:val="00A244BF"/>
    <w:rsid w:val="00A24DED"/>
    <w:rsid w:val="00A26266"/>
    <w:rsid w:val="00A26F59"/>
    <w:rsid w:val="00A27241"/>
    <w:rsid w:val="00A27A27"/>
    <w:rsid w:val="00A27FAD"/>
    <w:rsid w:val="00A302C2"/>
    <w:rsid w:val="00A3115B"/>
    <w:rsid w:val="00A31FA0"/>
    <w:rsid w:val="00A33F5D"/>
    <w:rsid w:val="00A356FA"/>
    <w:rsid w:val="00A35894"/>
    <w:rsid w:val="00A35F76"/>
    <w:rsid w:val="00A40236"/>
    <w:rsid w:val="00A42696"/>
    <w:rsid w:val="00A46CBB"/>
    <w:rsid w:val="00A504B0"/>
    <w:rsid w:val="00A52819"/>
    <w:rsid w:val="00A5371D"/>
    <w:rsid w:val="00A5603A"/>
    <w:rsid w:val="00A564A5"/>
    <w:rsid w:val="00A5666F"/>
    <w:rsid w:val="00A57228"/>
    <w:rsid w:val="00A57BFE"/>
    <w:rsid w:val="00A61A79"/>
    <w:rsid w:val="00A61C17"/>
    <w:rsid w:val="00A64E8E"/>
    <w:rsid w:val="00A6600C"/>
    <w:rsid w:val="00A66D72"/>
    <w:rsid w:val="00A67E2F"/>
    <w:rsid w:val="00A70244"/>
    <w:rsid w:val="00A70BDF"/>
    <w:rsid w:val="00A7106F"/>
    <w:rsid w:val="00A727A5"/>
    <w:rsid w:val="00A73175"/>
    <w:rsid w:val="00A77A0B"/>
    <w:rsid w:val="00A77A75"/>
    <w:rsid w:val="00A77E88"/>
    <w:rsid w:val="00A8161E"/>
    <w:rsid w:val="00A825A1"/>
    <w:rsid w:val="00A825DC"/>
    <w:rsid w:val="00A832D0"/>
    <w:rsid w:val="00A84EFD"/>
    <w:rsid w:val="00A8557B"/>
    <w:rsid w:val="00A85C9B"/>
    <w:rsid w:val="00A90D1A"/>
    <w:rsid w:val="00A91289"/>
    <w:rsid w:val="00A9237E"/>
    <w:rsid w:val="00A94205"/>
    <w:rsid w:val="00A95FF9"/>
    <w:rsid w:val="00A96FBA"/>
    <w:rsid w:val="00A972F4"/>
    <w:rsid w:val="00AA1A82"/>
    <w:rsid w:val="00AA1DB8"/>
    <w:rsid w:val="00AA1E77"/>
    <w:rsid w:val="00AA413F"/>
    <w:rsid w:val="00AA5AC7"/>
    <w:rsid w:val="00AA76D0"/>
    <w:rsid w:val="00AB108C"/>
    <w:rsid w:val="00AB121A"/>
    <w:rsid w:val="00AB235D"/>
    <w:rsid w:val="00AB2709"/>
    <w:rsid w:val="00AB473C"/>
    <w:rsid w:val="00AB60A3"/>
    <w:rsid w:val="00AB777D"/>
    <w:rsid w:val="00AC0468"/>
    <w:rsid w:val="00AC1ACD"/>
    <w:rsid w:val="00AC1FD1"/>
    <w:rsid w:val="00AC23B2"/>
    <w:rsid w:val="00AC24EA"/>
    <w:rsid w:val="00AC3DA0"/>
    <w:rsid w:val="00AC43CA"/>
    <w:rsid w:val="00AC4D5F"/>
    <w:rsid w:val="00AC7A6D"/>
    <w:rsid w:val="00AC7D3D"/>
    <w:rsid w:val="00AD17AB"/>
    <w:rsid w:val="00AD1877"/>
    <w:rsid w:val="00AD18E5"/>
    <w:rsid w:val="00AD4FB7"/>
    <w:rsid w:val="00AD6FCF"/>
    <w:rsid w:val="00AD7947"/>
    <w:rsid w:val="00AE12DC"/>
    <w:rsid w:val="00AE1DD1"/>
    <w:rsid w:val="00AE2B0B"/>
    <w:rsid w:val="00AE7A4E"/>
    <w:rsid w:val="00AE7DA3"/>
    <w:rsid w:val="00AF049D"/>
    <w:rsid w:val="00AF0A08"/>
    <w:rsid w:val="00AF1DC9"/>
    <w:rsid w:val="00AF3638"/>
    <w:rsid w:val="00AF4CEE"/>
    <w:rsid w:val="00AF6CC1"/>
    <w:rsid w:val="00AF72B0"/>
    <w:rsid w:val="00AF76A7"/>
    <w:rsid w:val="00B0077D"/>
    <w:rsid w:val="00B00796"/>
    <w:rsid w:val="00B00BA8"/>
    <w:rsid w:val="00B02AD5"/>
    <w:rsid w:val="00B05B17"/>
    <w:rsid w:val="00B06B9C"/>
    <w:rsid w:val="00B103D5"/>
    <w:rsid w:val="00B11B96"/>
    <w:rsid w:val="00B132C6"/>
    <w:rsid w:val="00B13312"/>
    <w:rsid w:val="00B13AF3"/>
    <w:rsid w:val="00B16897"/>
    <w:rsid w:val="00B16E7C"/>
    <w:rsid w:val="00B177B5"/>
    <w:rsid w:val="00B17A98"/>
    <w:rsid w:val="00B229F0"/>
    <w:rsid w:val="00B233B5"/>
    <w:rsid w:val="00B234D4"/>
    <w:rsid w:val="00B24EEC"/>
    <w:rsid w:val="00B25F06"/>
    <w:rsid w:val="00B30813"/>
    <w:rsid w:val="00B30C67"/>
    <w:rsid w:val="00B31FF2"/>
    <w:rsid w:val="00B3324B"/>
    <w:rsid w:val="00B33397"/>
    <w:rsid w:val="00B341CB"/>
    <w:rsid w:val="00B3483B"/>
    <w:rsid w:val="00B35699"/>
    <w:rsid w:val="00B378EC"/>
    <w:rsid w:val="00B41E7C"/>
    <w:rsid w:val="00B42BAE"/>
    <w:rsid w:val="00B43688"/>
    <w:rsid w:val="00B464B9"/>
    <w:rsid w:val="00B478A8"/>
    <w:rsid w:val="00B5164A"/>
    <w:rsid w:val="00B51DB9"/>
    <w:rsid w:val="00B51E42"/>
    <w:rsid w:val="00B55635"/>
    <w:rsid w:val="00B57336"/>
    <w:rsid w:val="00B63792"/>
    <w:rsid w:val="00B638DE"/>
    <w:rsid w:val="00B67691"/>
    <w:rsid w:val="00B70945"/>
    <w:rsid w:val="00B7164C"/>
    <w:rsid w:val="00B7202D"/>
    <w:rsid w:val="00B751E5"/>
    <w:rsid w:val="00B759D7"/>
    <w:rsid w:val="00B77826"/>
    <w:rsid w:val="00B77DAE"/>
    <w:rsid w:val="00B8020D"/>
    <w:rsid w:val="00B808A8"/>
    <w:rsid w:val="00B80D83"/>
    <w:rsid w:val="00B81066"/>
    <w:rsid w:val="00B81837"/>
    <w:rsid w:val="00B827FF"/>
    <w:rsid w:val="00B85763"/>
    <w:rsid w:val="00B864FA"/>
    <w:rsid w:val="00B878B9"/>
    <w:rsid w:val="00B9015C"/>
    <w:rsid w:val="00B90544"/>
    <w:rsid w:val="00B91499"/>
    <w:rsid w:val="00B91D48"/>
    <w:rsid w:val="00B92A6B"/>
    <w:rsid w:val="00B93AF0"/>
    <w:rsid w:val="00B95D30"/>
    <w:rsid w:val="00B95E56"/>
    <w:rsid w:val="00BA0421"/>
    <w:rsid w:val="00BA24F3"/>
    <w:rsid w:val="00BA2B39"/>
    <w:rsid w:val="00BA4BD4"/>
    <w:rsid w:val="00BA4C41"/>
    <w:rsid w:val="00BA531B"/>
    <w:rsid w:val="00BA76DE"/>
    <w:rsid w:val="00BB0AC7"/>
    <w:rsid w:val="00BB1C4D"/>
    <w:rsid w:val="00BB2CA0"/>
    <w:rsid w:val="00BB4083"/>
    <w:rsid w:val="00BB5745"/>
    <w:rsid w:val="00BB5A98"/>
    <w:rsid w:val="00BB6C61"/>
    <w:rsid w:val="00BB7EF5"/>
    <w:rsid w:val="00BC122D"/>
    <w:rsid w:val="00BC341A"/>
    <w:rsid w:val="00BC5473"/>
    <w:rsid w:val="00BC696D"/>
    <w:rsid w:val="00BD21B3"/>
    <w:rsid w:val="00BD267D"/>
    <w:rsid w:val="00BD45A5"/>
    <w:rsid w:val="00BD564F"/>
    <w:rsid w:val="00BD5C0A"/>
    <w:rsid w:val="00BD5C69"/>
    <w:rsid w:val="00BD6A29"/>
    <w:rsid w:val="00BD78CD"/>
    <w:rsid w:val="00BE1940"/>
    <w:rsid w:val="00BE1D87"/>
    <w:rsid w:val="00BE274C"/>
    <w:rsid w:val="00BE3EFE"/>
    <w:rsid w:val="00BE5E1C"/>
    <w:rsid w:val="00BE5E91"/>
    <w:rsid w:val="00BF1721"/>
    <w:rsid w:val="00BF28C2"/>
    <w:rsid w:val="00BF44D7"/>
    <w:rsid w:val="00BF53E8"/>
    <w:rsid w:val="00BF59F5"/>
    <w:rsid w:val="00BF5E79"/>
    <w:rsid w:val="00BF6241"/>
    <w:rsid w:val="00BF62A5"/>
    <w:rsid w:val="00C04D6D"/>
    <w:rsid w:val="00C05526"/>
    <w:rsid w:val="00C05A99"/>
    <w:rsid w:val="00C072E0"/>
    <w:rsid w:val="00C10928"/>
    <w:rsid w:val="00C10A56"/>
    <w:rsid w:val="00C1108B"/>
    <w:rsid w:val="00C1398B"/>
    <w:rsid w:val="00C13995"/>
    <w:rsid w:val="00C145FF"/>
    <w:rsid w:val="00C14A98"/>
    <w:rsid w:val="00C1520D"/>
    <w:rsid w:val="00C178CB"/>
    <w:rsid w:val="00C208FD"/>
    <w:rsid w:val="00C20BC5"/>
    <w:rsid w:val="00C21A2E"/>
    <w:rsid w:val="00C244EA"/>
    <w:rsid w:val="00C25806"/>
    <w:rsid w:val="00C275B8"/>
    <w:rsid w:val="00C27B16"/>
    <w:rsid w:val="00C27C64"/>
    <w:rsid w:val="00C27D3B"/>
    <w:rsid w:val="00C32E3B"/>
    <w:rsid w:val="00C32E52"/>
    <w:rsid w:val="00C34563"/>
    <w:rsid w:val="00C3546D"/>
    <w:rsid w:val="00C40663"/>
    <w:rsid w:val="00C40EF0"/>
    <w:rsid w:val="00C412F1"/>
    <w:rsid w:val="00C417DB"/>
    <w:rsid w:val="00C422AD"/>
    <w:rsid w:val="00C424C3"/>
    <w:rsid w:val="00C4406F"/>
    <w:rsid w:val="00C44A43"/>
    <w:rsid w:val="00C45A83"/>
    <w:rsid w:val="00C45A9F"/>
    <w:rsid w:val="00C45D80"/>
    <w:rsid w:val="00C47FED"/>
    <w:rsid w:val="00C5093A"/>
    <w:rsid w:val="00C50D4A"/>
    <w:rsid w:val="00C510B3"/>
    <w:rsid w:val="00C519E9"/>
    <w:rsid w:val="00C51D1E"/>
    <w:rsid w:val="00C52131"/>
    <w:rsid w:val="00C5327D"/>
    <w:rsid w:val="00C54ABC"/>
    <w:rsid w:val="00C55D5F"/>
    <w:rsid w:val="00C6016D"/>
    <w:rsid w:val="00C61B81"/>
    <w:rsid w:val="00C61C27"/>
    <w:rsid w:val="00C631CF"/>
    <w:rsid w:val="00C65E8D"/>
    <w:rsid w:val="00C662B0"/>
    <w:rsid w:val="00C67FE1"/>
    <w:rsid w:val="00C706DF"/>
    <w:rsid w:val="00C724C4"/>
    <w:rsid w:val="00C75584"/>
    <w:rsid w:val="00C7789E"/>
    <w:rsid w:val="00C805D4"/>
    <w:rsid w:val="00C82CB7"/>
    <w:rsid w:val="00C86C4E"/>
    <w:rsid w:val="00C8725B"/>
    <w:rsid w:val="00C875A5"/>
    <w:rsid w:val="00C91966"/>
    <w:rsid w:val="00C91EF6"/>
    <w:rsid w:val="00C93327"/>
    <w:rsid w:val="00C93633"/>
    <w:rsid w:val="00C93CC0"/>
    <w:rsid w:val="00C973BB"/>
    <w:rsid w:val="00CA0046"/>
    <w:rsid w:val="00CA1677"/>
    <w:rsid w:val="00CA2880"/>
    <w:rsid w:val="00CA3EA9"/>
    <w:rsid w:val="00CA5556"/>
    <w:rsid w:val="00CA573E"/>
    <w:rsid w:val="00CA5AA8"/>
    <w:rsid w:val="00CA5FC1"/>
    <w:rsid w:val="00CA6E5B"/>
    <w:rsid w:val="00CB0E4C"/>
    <w:rsid w:val="00CB100A"/>
    <w:rsid w:val="00CB131C"/>
    <w:rsid w:val="00CB24E3"/>
    <w:rsid w:val="00CB752C"/>
    <w:rsid w:val="00CB7AF0"/>
    <w:rsid w:val="00CC3BE3"/>
    <w:rsid w:val="00CC52E1"/>
    <w:rsid w:val="00CC5E66"/>
    <w:rsid w:val="00CC61DA"/>
    <w:rsid w:val="00CC7136"/>
    <w:rsid w:val="00CD01FF"/>
    <w:rsid w:val="00CD27D5"/>
    <w:rsid w:val="00CD32CC"/>
    <w:rsid w:val="00CD5948"/>
    <w:rsid w:val="00CD5BDF"/>
    <w:rsid w:val="00CD5DC2"/>
    <w:rsid w:val="00CD65EE"/>
    <w:rsid w:val="00CE1A76"/>
    <w:rsid w:val="00CE6333"/>
    <w:rsid w:val="00CE64AD"/>
    <w:rsid w:val="00CF0DEE"/>
    <w:rsid w:val="00CF23B8"/>
    <w:rsid w:val="00CF2614"/>
    <w:rsid w:val="00CF2A85"/>
    <w:rsid w:val="00CF3BAC"/>
    <w:rsid w:val="00CF3E1D"/>
    <w:rsid w:val="00CF3FDD"/>
    <w:rsid w:val="00CF43E5"/>
    <w:rsid w:val="00CF639C"/>
    <w:rsid w:val="00D01BB4"/>
    <w:rsid w:val="00D0302C"/>
    <w:rsid w:val="00D03223"/>
    <w:rsid w:val="00D04168"/>
    <w:rsid w:val="00D062A0"/>
    <w:rsid w:val="00D07572"/>
    <w:rsid w:val="00D102CA"/>
    <w:rsid w:val="00D13BAF"/>
    <w:rsid w:val="00D17395"/>
    <w:rsid w:val="00D173E9"/>
    <w:rsid w:val="00D2119F"/>
    <w:rsid w:val="00D21535"/>
    <w:rsid w:val="00D21686"/>
    <w:rsid w:val="00D23C2B"/>
    <w:rsid w:val="00D24810"/>
    <w:rsid w:val="00D26673"/>
    <w:rsid w:val="00D26D64"/>
    <w:rsid w:val="00D31DB8"/>
    <w:rsid w:val="00D31F31"/>
    <w:rsid w:val="00D31FE3"/>
    <w:rsid w:val="00D3321A"/>
    <w:rsid w:val="00D3364A"/>
    <w:rsid w:val="00D33FD2"/>
    <w:rsid w:val="00D3489F"/>
    <w:rsid w:val="00D3598D"/>
    <w:rsid w:val="00D36230"/>
    <w:rsid w:val="00D37B0E"/>
    <w:rsid w:val="00D401A5"/>
    <w:rsid w:val="00D40B33"/>
    <w:rsid w:val="00D41C63"/>
    <w:rsid w:val="00D44F16"/>
    <w:rsid w:val="00D45896"/>
    <w:rsid w:val="00D50FD4"/>
    <w:rsid w:val="00D52AD4"/>
    <w:rsid w:val="00D5340F"/>
    <w:rsid w:val="00D53D6F"/>
    <w:rsid w:val="00D54AD0"/>
    <w:rsid w:val="00D54B88"/>
    <w:rsid w:val="00D54D13"/>
    <w:rsid w:val="00D556E3"/>
    <w:rsid w:val="00D601E5"/>
    <w:rsid w:val="00D61172"/>
    <w:rsid w:val="00D62695"/>
    <w:rsid w:val="00D66E08"/>
    <w:rsid w:val="00D70435"/>
    <w:rsid w:val="00D709E2"/>
    <w:rsid w:val="00D71C9C"/>
    <w:rsid w:val="00D730C9"/>
    <w:rsid w:val="00D732CE"/>
    <w:rsid w:val="00D748F3"/>
    <w:rsid w:val="00D77D3A"/>
    <w:rsid w:val="00D808E9"/>
    <w:rsid w:val="00D82015"/>
    <w:rsid w:val="00D82EFF"/>
    <w:rsid w:val="00D83AAF"/>
    <w:rsid w:val="00D8424A"/>
    <w:rsid w:val="00D844C7"/>
    <w:rsid w:val="00D8623A"/>
    <w:rsid w:val="00D91B53"/>
    <w:rsid w:val="00D91BA7"/>
    <w:rsid w:val="00D91C9D"/>
    <w:rsid w:val="00D92AEA"/>
    <w:rsid w:val="00D93F8C"/>
    <w:rsid w:val="00D97E1E"/>
    <w:rsid w:val="00DA3423"/>
    <w:rsid w:val="00DA7B4E"/>
    <w:rsid w:val="00DB0F45"/>
    <w:rsid w:val="00DB4C3A"/>
    <w:rsid w:val="00DB7284"/>
    <w:rsid w:val="00DB7D98"/>
    <w:rsid w:val="00DB7E91"/>
    <w:rsid w:val="00DC19B7"/>
    <w:rsid w:val="00DC2C26"/>
    <w:rsid w:val="00DC4240"/>
    <w:rsid w:val="00DC6B5F"/>
    <w:rsid w:val="00DC6E7B"/>
    <w:rsid w:val="00DC78D3"/>
    <w:rsid w:val="00DC7A03"/>
    <w:rsid w:val="00DD0BA2"/>
    <w:rsid w:val="00DD1D3F"/>
    <w:rsid w:val="00DD23F6"/>
    <w:rsid w:val="00DD39BA"/>
    <w:rsid w:val="00DD4D8E"/>
    <w:rsid w:val="00DD4F05"/>
    <w:rsid w:val="00DD635C"/>
    <w:rsid w:val="00DD6B3A"/>
    <w:rsid w:val="00DE1718"/>
    <w:rsid w:val="00DE2375"/>
    <w:rsid w:val="00DE2E43"/>
    <w:rsid w:val="00DE3E46"/>
    <w:rsid w:val="00DE5B7B"/>
    <w:rsid w:val="00DE6ADE"/>
    <w:rsid w:val="00DF1077"/>
    <w:rsid w:val="00DF1BFA"/>
    <w:rsid w:val="00DF4C0B"/>
    <w:rsid w:val="00DF5E8C"/>
    <w:rsid w:val="00DF65AF"/>
    <w:rsid w:val="00DF6ACA"/>
    <w:rsid w:val="00E014DF"/>
    <w:rsid w:val="00E0245C"/>
    <w:rsid w:val="00E02895"/>
    <w:rsid w:val="00E0452C"/>
    <w:rsid w:val="00E066ED"/>
    <w:rsid w:val="00E110D9"/>
    <w:rsid w:val="00E112EC"/>
    <w:rsid w:val="00E12D68"/>
    <w:rsid w:val="00E133FB"/>
    <w:rsid w:val="00E134BA"/>
    <w:rsid w:val="00E13831"/>
    <w:rsid w:val="00E13F3D"/>
    <w:rsid w:val="00E173FA"/>
    <w:rsid w:val="00E17779"/>
    <w:rsid w:val="00E17A3F"/>
    <w:rsid w:val="00E200E5"/>
    <w:rsid w:val="00E21DFA"/>
    <w:rsid w:val="00E22221"/>
    <w:rsid w:val="00E22DF9"/>
    <w:rsid w:val="00E239EC"/>
    <w:rsid w:val="00E23E26"/>
    <w:rsid w:val="00E265A6"/>
    <w:rsid w:val="00E2688A"/>
    <w:rsid w:val="00E27029"/>
    <w:rsid w:val="00E27244"/>
    <w:rsid w:val="00E31C24"/>
    <w:rsid w:val="00E33292"/>
    <w:rsid w:val="00E345AB"/>
    <w:rsid w:val="00E36FBD"/>
    <w:rsid w:val="00E377F7"/>
    <w:rsid w:val="00E37FFC"/>
    <w:rsid w:val="00E40966"/>
    <w:rsid w:val="00E419F1"/>
    <w:rsid w:val="00E41D12"/>
    <w:rsid w:val="00E423AD"/>
    <w:rsid w:val="00E4254B"/>
    <w:rsid w:val="00E446E9"/>
    <w:rsid w:val="00E5339A"/>
    <w:rsid w:val="00E53E12"/>
    <w:rsid w:val="00E56AC4"/>
    <w:rsid w:val="00E6121C"/>
    <w:rsid w:val="00E618B6"/>
    <w:rsid w:val="00E62DAA"/>
    <w:rsid w:val="00E63184"/>
    <w:rsid w:val="00E633DC"/>
    <w:rsid w:val="00E667BB"/>
    <w:rsid w:val="00E71BE9"/>
    <w:rsid w:val="00E72C7C"/>
    <w:rsid w:val="00E737D6"/>
    <w:rsid w:val="00E73B19"/>
    <w:rsid w:val="00E73CF9"/>
    <w:rsid w:val="00E74E0A"/>
    <w:rsid w:val="00E77CE4"/>
    <w:rsid w:val="00E810ED"/>
    <w:rsid w:val="00E858DB"/>
    <w:rsid w:val="00E87BE0"/>
    <w:rsid w:val="00E90151"/>
    <w:rsid w:val="00E92240"/>
    <w:rsid w:val="00E93C44"/>
    <w:rsid w:val="00E972EA"/>
    <w:rsid w:val="00E977A4"/>
    <w:rsid w:val="00EA014C"/>
    <w:rsid w:val="00EA0414"/>
    <w:rsid w:val="00EA18E1"/>
    <w:rsid w:val="00EA2399"/>
    <w:rsid w:val="00EA2510"/>
    <w:rsid w:val="00EA2539"/>
    <w:rsid w:val="00EA35AB"/>
    <w:rsid w:val="00EA5340"/>
    <w:rsid w:val="00EA63B7"/>
    <w:rsid w:val="00EA665D"/>
    <w:rsid w:val="00EB3272"/>
    <w:rsid w:val="00EB57DC"/>
    <w:rsid w:val="00EB58BA"/>
    <w:rsid w:val="00EC153E"/>
    <w:rsid w:val="00EC2119"/>
    <w:rsid w:val="00EC2569"/>
    <w:rsid w:val="00EC285A"/>
    <w:rsid w:val="00EC3E25"/>
    <w:rsid w:val="00EC6290"/>
    <w:rsid w:val="00EC7650"/>
    <w:rsid w:val="00ED07B1"/>
    <w:rsid w:val="00ED102A"/>
    <w:rsid w:val="00ED1484"/>
    <w:rsid w:val="00ED2C81"/>
    <w:rsid w:val="00ED2DB9"/>
    <w:rsid w:val="00ED3331"/>
    <w:rsid w:val="00ED3590"/>
    <w:rsid w:val="00ED4B2A"/>
    <w:rsid w:val="00ED60AA"/>
    <w:rsid w:val="00ED65C7"/>
    <w:rsid w:val="00ED6767"/>
    <w:rsid w:val="00ED7CCA"/>
    <w:rsid w:val="00EE0389"/>
    <w:rsid w:val="00EE31D9"/>
    <w:rsid w:val="00EE388E"/>
    <w:rsid w:val="00EE5617"/>
    <w:rsid w:val="00EE56B1"/>
    <w:rsid w:val="00EE69B7"/>
    <w:rsid w:val="00EF01A3"/>
    <w:rsid w:val="00EF022C"/>
    <w:rsid w:val="00EF0698"/>
    <w:rsid w:val="00EF14B1"/>
    <w:rsid w:val="00EF193D"/>
    <w:rsid w:val="00EF1F8D"/>
    <w:rsid w:val="00EF3B27"/>
    <w:rsid w:val="00EF5A8D"/>
    <w:rsid w:val="00EF6262"/>
    <w:rsid w:val="00EF6573"/>
    <w:rsid w:val="00EF7547"/>
    <w:rsid w:val="00F0039A"/>
    <w:rsid w:val="00F00F17"/>
    <w:rsid w:val="00F01DEC"/>
    <w:rsid w:val="00F03EC1"/>
    <w:rsid w:val="00F056B1"/>
    <w:rsid w:val="00F06651"/>
    <w:rsid w:val="00F07400"/>
    <w:rsid w:val="00F12A76"/>
    <w:rsid w:val="00F14544"/>
    <w:rsid w:val="00F156B7"/>
    <w:rsid w:val="00F16807"/>
    <w:rsid w:val="00F16E32"/>
    <w:rsid w:val="00F20457"/>
    <w:rsid w:val="00F207A5"/>
    <w:rsid w:val="00F21AE1"/>
    <w:rsid w:val="00F21C35"/>
    <w:rsid w:val="00F229D7"/>
    <w:rsid w:val="00F241AF"/>
    <w:rsid w:val="00F24867"/>
    <w:rsid w:val="00F26238"/>
    <w:rsid w:val="00F324D8"/>
    <w:rsid w:val="00F33C7A"/>
    <w:rsid w:val="00F3527A"/>
    <w:rsid w:val="00F3596C"/>
    <w:rsid w:val="00F35CD0"/>
    <w:rsid w:val="00F36AC8"/>
    <w:rsid w:val="00F36DB7"/>
    <w:rsid w:val="00F37722"/>
    <w:rsid w:val="00F404E2"/>
    <w:rsid w:val="00F43509"/>
    <w:rsid w:val="00F4577C"/>
    <w:rsid w:val="00F464BF"/>
    <w:rsid w:val="00F46EE2"/>
    <w:rsid w:val="00F54887"/>
    <w:rsid w:val="00F55996"/>
    <w:rsid w:val="00F55D83"/>
    <w:rsid w:val="00F57252"/>
    <w:rsid w:val="00F608D4"/>
    <w:rsid w:val="00F6270F"/>
    <w:rsid w:val="00F6409D"/>
    <w:rsid w:val="00F642BD"/>
    <w:rsid w:val="00F64A63"/>
    <w:rsid w:val="00F664A8"/>
    <w:rsid w:val="00F6715E"/>
    <w:rsid w:val="00F678C4"/>
    <w:rsid w:val="00F67BF0"/>
    <w:rsid w:val="00F70D3E"/>
    <w:rsid w:val="00F72261"/>
    <w:rsid w:val="00F72FBF"/>
    <w:rsid w:val="00F76AC6"/>
    <w:rsid w:val="00F76BE8"/>
    <w:rsid w:val="00F77BF4"/>
    <w:rsid w:val="00F80B07"/>
    <w:rsid w:val="00F81944"/>
    <w:rsid w:val="00F83C24"/>
    <w:rsid w:val="00F87267"/>
    <w:rsid w:val="00F87474"/>
    <w:rsid w:val="00F90C47"/>
    <w:rsid w:val="00F91114"/>
    <w:rsid w:val="00F91592"/>
    <w:rsid w:val="00F91D28"/>
    <w:rsid w:val="00F92476"/>
    <w:rsid w:val="00F92AE6"/>
    <w:rsid w:val="00F93457"/>
    <w:rsid w:val="00F95B4C"/>
    <w:rsid w:val="00FA08CA"/>
    <w:rsid w:val="00FA1572"/>
    <w:rsid w:val="00FA24DF"/>
    <w:rsid w:val="00FA2A4E"/>
    <w:rsid w:val="00FA357F"/>
    <w:rsid w:val="00FA3D28"/>
    <w:rsid w:val="00FA404B"/>
    <w:rsid w:val="00FA4111"/>
    <w:rsid w:val="00FA43B4"/>
    <w:rsid w:val="00FB0E27"/>
    <w:rsid w:val="00FB1347"/>
    <w:rsid w:val="00FB1D87"/>
    <w:rsid w:val="00FB204F"/>
    <w:rsid w:val="00FB4D76"/>
    <w:rsid w:val="00FB4FC2"/>
    <w:rsid w:val="00FC23D0"/>
    <w:rsid w:val="00FC2D7E"/>
    <w:rsid w:val="00FC341C"/>
    <w:rsid w:val="00FC4677"/>
    <w:rsid w:val="00FD1F0C"/>
    <w:rsid w:val="00FD3197"/>
    <w:rsid w:val="00FD40BE"/>
    <w:rsid w:val="00FD4C6E"/>
    <w:rsid w:val="00FD5BAE"/>
    <w:rsid w:val="00FD66C0"/>
    <w:rsid w:val="00FE0515"/>
    <w:rsid w:val="00FE2CCA"/>
    <w:rsid w:val="00FE36C8"/>
    <w:rsid w:val="00FE518C"/>
    <w:rsid w:val="00FE614C"/>
    <w:rsid w:val="00FE67B2"/>
    <w:rsid w:val="00FE7DAD"/>
    <w:rsid w:val="00FE7FD1"/>
    <w:rsid w:val="00FF0388"/>
    <w:rsid w:val="00FF2081"/>
    <w:rsid w:val="00FF24CD"/>
    <w:rsid w:val="00FF27DF"/>
    <w:rsid w:val="00FF2F05"/>
    <w:rsid w:val="00FF3241"/>
    <w:rsid w:val="00FF480D"/>
    <w:rsid w:val="00FF5138"/>
    <w:rsid w:val="00FF6E38"/>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a807"/>
    </o:shapedefaults>
    <o:shapelayout v:ext="edit">
      <o:idmap v:ext="edit" data="1"/>
    </o:shapelayout>
  </w:shapeDefaults>
  <w:decimalSymbol w:val=","/>
  <w:listSeparator w:val=";"/>
  <w14:docId w14:val="3D5336E7"/>
  <w15:chartTrackingRefBased/>
  <w15:docId w15:val="{90AE6FA6-A1B9-417F-B377-65E86A464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944"/>
    <w:pPr>
      <w:spacing w:after="160" w:line="259" w:lineRule="auto"/>
    </w:pPr>
    <w:rPr>
      <w:sz w:val="22"/>
      <w:szCs w:val="22"/>
      <w:lang w:eastAsia="en-US"/>
    </w:rPr>
  </w:style>
  <w:style w:type="paragraph" w:styleId="Ttulo1">
    <w:name w:val="heading 1"/>
    <w:basedOn w:val="Normal"/>
    <w:next w:val="Normal"/>
    <w:link w:val="Ttulo1Car"/>
    <w:uiPriority w:val="9"/>
    <w:qFormat/>
    <w:rsid w:val="005D20EE"/>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
    <w:qFormat/>
    <w:rsid w:val="005D20EE"/>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
    <w:qFormat/>
    <w:rsid w:val="005D20EE"/>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
    <w:qFormat/>
    <w:rsid w:val="005D20EE"/>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
    <w:qFormat/>
    <w:rsid w:val="005D20EE"/>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5D20EE"/>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5D20EE"/>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5D20EE"/>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5D20EE"/>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apítulo,Subtitulo1,figuras cap 5,TEXTOO,Lista vistosa - Énfasis 11,Javier Titulo 2 tesis,Graficos,TITULOS PRINCIPALES,reducira,Fundamentacion,Iz - Párrafo de lista,Sivsa Parrafo,Titulo de Fígura,List Paragraph,Bulleted List,titulo"/>
    <w:basedOn w:val="Normal"/>
    <w:link w:val="PrrafodelistaCar"/>
    <w:uiPriority w:val="1"/>
    <w:qFormat/>
    <w:rsid w:val="00444929"/>
    <w:pPr>
      <w:ind w:left="720"/>
      <w:contextualSpacing/>
    </w:pPr>
  </w:style>
  <w:style w:type="character" w:styleId="Refdecomentario">
    <w:name w:val="annotation reference"/>
    <w:uiPriority w:val="99"/>
    <w:semiHidden/>
    <w:unhideWhenUsed/>
    <w:qFormat/>
    <w:rsid w:val="009247B4"/>
    <w:rPr>
      <w:sz w:val="16"/>
      <w:szCs w:val="16"/>
    </w:rPr>
  </w:style>
  <w:style w:type="paragraph" w:styleId="Textocomentario">
    <w:name w:val="annotation text"/>
    <w:basedOn w:val="Normal"/>
    <w:link w:val="TextocomentarioCar"/>
    <w:uiPriority w:val="99"/>
    <w:unhideWhenUsed/>
    <w:qFormat/>
    <w:rsid w:val="009247B4"/>
    <w:pPr>
      <w:spacing w:line="240" w:lineRule="auto"/>
    </w:pPr>
    <w:rPr>
      <w:sz w:val="20"/>
      <w:szCs w:val="20"/>
    </w:rPr>
  </w:style>
  <w:style w:type="character" w:customStyle="1" w:styleId="TextocomentarioCar">
    <w:name w:val="Texto comentario Car"/>
    <w:link w:val="Textocomentario"/>
    <w:uiPriority w:val="99"/>
    <w:qFormat/>
    <w:rsid w:val="009247B4"/>
    <w:rPr>
      <w:sz w:val="20"/>
      <w:szCs w:val="20"/>
    </w:rPr>
  </w:style>
  <w:style w:type="paragraph" w:styleId="Textodeglobo">
    <w:name w:val="Balloon Text"/>
    <w:basedOn w:val="Normal"/>
    <w:link w:val="TextodegloboCar"/>
    <w:uiPriority w:val="99"/>
    <w:semiHidden/>
    <w:unhideWhenUsed/>
    <w:qFormat/>
    <w:rsid w:val="009247B4"/>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qFormat/>
    <w:rsid w:val="009247B4"/>
    <w:rPr>
      <w:rFonts w:ascii="Segoe UI" w:hAnsi="Segoe UI" w:cs="Segoe UI"/>
      <w:sz w:val="18"/>
      <w:szCs w:val="18"/>
    </w:rPr>
  </w:style>
  <w:style w:type="table" w:styleId="Tablaconcuadrcula">
    <w:name w:val="Table Grid"/>
    <w:basedOn w:val="Tablanormal"/>
    <w:uiPriority w:val="39"/>
    <w:rsid w:val="00224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156308"/>
  </w:style>
  <w:style w:type="character" w:styleId="Hipervnculo">
    <w:name w:val="Hyperlink"/>
    <w:uiPriority w:val="99"/>
    <w:unhideWhenUsed/>
    <w:qFormat/>
    <w:rsid w:val="006A3FC1"/>
    <w:rPr>
      <w:color w:val="0563C1"/>
      <w:u w:val="single"/>
    </w:rPr>
  </w:style>
  <w:style w:type="paragraph" w:styleId="Encabezado">
    <w:name w:val="header"/>
    <w:aliases w:val="Temática"/>
    <w:basedOn w:val="Normal"/>
    <w:link w:val="EncabezadoCar"/>
    <w:uiPriority w:val="99"/>
    <w:unhideWhenUsed/>
    <w:rsid w:val="002F0B70"/>
    <w:pPr>
      <w:tabs>
        <w:tab w:val="center" w:pos="4419"/>
        <w:tab w:val="right" w:pos="8838"/>
      </w:tabs>
      <w:spacing w:after="0" w:line="240" w:lineRule="auto"/>
    </w:pPr>
  </w:style>
  <w:style w:type="character" w:customStyle="1" w:styleId="EncabezadoCar">
    <w:name w:val="Encabezado Car"/>
    <w:aliases w:val="Temática Car"/>
    <w:basedOn w:val="Fuentedeprrafopredeter"/>
    <w:link w:val="Encabezado"/>
    <w:uiPriority w:val="99"/>
    <w:qFormat/>
    <w:rsid w:val="002F0B70"/>
  </w:style>
  <w:style w:type="paragraph" w:styleId="Piedepgina">
    <w:name w:val="footer"/>
    <w:basedOn w:val="Normal"/>
    <w:link w:val="PiedepginaCar"/>
    <w:uiPriority w:val="99"/>
    <w:unhideWhenUsed/>
    <w:rsid w:val="002F0B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2F0B70"/>
  </w:style>
  <w:style w:type="paragraph" w:styleId="Sinespaciado">
    <w:name w:val="No Spacing"/>
    <w:aliases w:val="PÁRRAFO,espaciado sin,redacción"/>
    <w:link w:val="SinespaciadoCar"/>
    <w:uiPriority w:val="1"/>
    <w:qFormat/>
    <w:rsid w:val="00CB0E4C"/>
    <w:rPr>
      <w:sz w:val="22"/>
      <w:szCs w:val="22"/>
      <w:lang w:eastAsia="en-US"/>
    </w:rPr>
  </w:style>
  <w:style w:type="paragraph" w:styleId="Textoindependiente">
    <w:name w:val="Body Text"/>
    <w:basedOn w:val="Normal"/>
    <w:link w:val="TextoindependienteCar"/>
    <w:uiPriority w:val="1"/>
    <w:qFormat/>
    <w:rsid w:val="00A8557B"/>
    <w:pPr>
      <w:spacing w:after="0" w:line="360" w:lineRule="auto"/>
      <w:jc w:val="both"/>
    </w:pPr>
    <w:rPr>
      <w:rFonts w:ascii="Arial" w:eastAsia="Times New Roman" w:hAnsi="Arial" w:cs="Arial"/>
      <w:sz w:val="24"/>
      <w:szCs w:val="24"/>
      <w:lang w:val="es-ES_tradnl" w:eastAsia="es-ES"/>
    </w:rPr>
  </w:style>
  <w:style w:type="character" w:customStyle="1" w:styleId="TextoindependienteCar">
    <w:name w:val="Texto independiente Car"/>
    <w:link w:val="Textoindependiente"/>
    <w:uiPriority w:val="1"/>
    <w:rsid w:val="00A8557B"/>
    <w:rPr>
      <w:rFonts w:ascii="Arial" w:eastAsia="Times New Roman" w:hAnsi="Arial" w:cs="Arial"/>
      <w:sz w:val="24"/>
      <w:szCs w:val="24"/>
      <w:lang w:val="es-ES_tradnl" w:eastAsia="es-ES"/>
    </w:rPr>
  </w:style>
  <w:style w:type="paragraph" w:styleId="NormalWeb">
    <w:name w:val="Normal (Web)"/>
    <w:aliases w:val="Car"/>
    <w:basedOn w:val="Normal"/>
    <w:link w:val="NormalWebCar"/>
    <w:uiPriority w:val="99"/>
    <w:qFormat/>
    <w:rsid w:val="00A8557B"/>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shorttext">
    <w:name w:val="short_text"/>
    <w:rsid w:val="00A8557B"/>
  </w:style>
  <w:style w:type="character" w:styleId="CitaHTML">
    <w:name w:val="HTML Cite"/>
    <w:uiPriority w:val="99"/>
    <w:unhideWhenUsed/>
    <w:rsid w:val="00A8557B"/>
    <w:rPr>
      <w:i/>
      <w:iCs/>
    </w:rPr>
  </w:style>
  <w:style w:type="character" w:customStyle="1" w:styleId="article-title">
    <w:name w:val="article-title"/>
    <w:rsid w:val="00A8557B"/>
  </w:style>
  <w:style w:type="character" w:customStyle="1" w:styleId="PrrafodelistaCar">
    <w:name w:val="Párrafo de lista Car"/>
    <w:aliases w:val="Capítulo Car,Subtitulo1 Car,figuras cap 5 Car,TEXTOO Car,Lista vistosa - Énfasis 11 Car,Javier Titulo 2 tesis Car,Graficos Car,TITULOS PRINCIPALES Car,reducira Car,Fundamentacion Car,Iz - Párrafo de lista Car,Sivsa Parrafo Car"/>
    <w:link w:val="Prrafodelista"/>
    <w:uiPriority w:val="34"/>
    <w:qFormat/>
    <w:rsid w:val="00FD66C0"/>
    <w:rPr>
      <w:sz w:val="22"/>
      <w:szCs w:val="22"/>
      <w:lang w:eastAsia="en-US"/>
    </w:rPr>
  </w:style>
  <w:style w:type="paragraph" w:styleId="Bibliografa">
    <w:name w:val="Bibliography"/>
    <w:basedOn w:val="Normal"/>
    <w:next w:val="Normal"/>
    <w:uiPriority w:val="37"/>
    <w:unhideWhenUsed/>
    <w:qFormat/>
    <w:rsid w:val="00FD66C0"/>
  </w:style>
  <w:style w:type="character" w:customStyle="1" w:styleId="Ttulo1Car">
    <w:name w:val="Título 1 Car"/>
    <w:link w:val="Ttulo1"/>
    <w:uiPriority w:val="9"/>
    <w:qFormat/>
    <w:rsid w:val="005D20EE"/>
    <w:rPr>
      <w:rFonts w:ascii="Arial" w:eastAsia="Times New Roman" w:hAnsi="Arial"/>
      <w:b/>
      <w:sz w:val="28"/>
      <w:lang w:val="es-ES" w:eastAsia="es-ES"/>
    </w:rPr>
  </w:style>
  <w:style w:type="character" w:customStyle="1" w:styleId="Ttulo2Car">
    <w:name w:val="Título 2 Car"/>
    <w:link w:val="Ttulo2"/>
    <w:uiPriority w:val="9"/>
    <w:qFormat/>
    <w:rsid w:val="005D20EE"/>
    <w:rPr>
      <w:rFonts w:ascii="Arial" w:eastAsia="Symbol" w:hAnsi="Arial" w:cs="Cambria"/>
      <w:b/>
      <w:sz w:val="24"/>
      <w:lang w:val="es-ES" w:eastAsia="es-ES"/>
    </w:rPr>
  </w:style>
  <w:style w:type="character" w:customStyle="1" w:styleId="Ttulo3Car">
    <w:name w:val="Título 3 Car"/>
    <w:link w:val="Ttulo3"/>
    <w:uiPriority w:val="9"/>
    <w:qFormat/>
    <w:rsid w:val="005D20EE"/>
    <w:rPr>
      <w:rFonts w:ascii="Arial" w:eastAsia="Symbol" w:hAnsi="Arial" w:cs="Cambria"/>
      <w:b/>
      <w:sz w:val="24"/>
      <w:lang w:val="es-ES" w:eastAsia="es-ES"/>
    </w:rPr>
  </w:style>
  <w:style w:type="character" w:customStyle="1" w:styleId="Ttulo4Car">
    <w:name w:val="Título 4 Car"/>
    <w:link w:val="Ttulo4"/>
    <w:uiPriority w:val="9"/>
    <w:rsid w:val="005D20EE"/>
    <w:rPr>
      <w:rFonts w:ascii="Cambria" w:eastAsia="Symbol" w:hAnsi="Cambria" w:cs="Cambria"/>
      <w:b/>
      <w:i/>
      <w:color w:val="4F81BD"/>
      <w:sz w:val="24"/>
      <w:lang w:val="es-ES" w:eastAsia="es-ES"/>
    </w:rPr>
  </w:style>
  <w:style w:type="character" w:customStyle="1" w:styleId="Ttulo5Car">
    <w:name w:val="Título 5 Car"/>
    <w:link w:val="Ttulo5"/>
    <w:uiPriority w:val="9"/>
    <w:rsid w:val="005D20EE"/>
    <w:rPr>
      <w:rFonts w:ascii="Cambria" w:eastAsia="Symbol" w:hAnsi="Cambria" w:cs="Cambria"/>
      <w:color w:val="243F60"/>
      <w:sz w:val="24"/>
      <w:lang w:val="es-ES" w:eastAsia="es-ES"/>
    </w:rPr>
  </w:style>
  <w:style w:type="character" w:customStyle="1" w:styleId="Ttulo6Car">
    <w:name w:val="Título 6 Car"/>
    <w:link w:val="Ttulo6"/>
    <w:rsid w:val="005D20EE"/>
    <w:rPr>
      <w:rFonts w:ascii="Cambria" w:eastAsia="Symbol" w:hAnsi="Cambria" w:cs="Cambria"/>
      <w:i/>
      <w:color w:val="243F60"/>
      <w:sz w:val="24"/>
      <w:lang w:val="es-ES" w:eastAsia="es-ES"/>
    </w:rPr>
  </w:style>
  <w:style w:type="character" w:customStyle="1" w:styleId="Ttulo7Car">
    <w:name w:val="Título 7 Car"/>
    <w:link w:val="Ttulo7"/>
    <w:rsid w:val="005D20EE"/>
    <w:rPr>
      <w:rFonts w:ascii="Cambria" w:eastAsia="Symbol" w:hAnsi="Cambria" w:cs="Cambria"/>
      <w:i/>
      <w:color w:val="404040"/>
      <w:sz w:val="24"/>
      <w:lang w:val="es-ES" w:eastAsia="es-ES"/>
    </w:rPr>
  </w:style>
  <w:style w:type="character" w:customStyle="1" w:styleId="Ttulo8Car">
    <w:name w:val="Título 8 Car"/>
    <w:link w:val="Ttulo8"/>
    <w:rsid w:val="005D20EE"/>
    <w:rPr>
      <w:rFonts w:ascii="Cambria" w:eastAsia="Symbol" w:hAnsi="Cambria" w:cs="Cambria"/>
      <w:color w:val="404040"/>
      <w:lang w:val="es-ES" w:eastAsia="es-ES"/>
    </w:rPr>
  </w:style>
  <w:style w:type="character" w:customStyle="1" w:styleId="Ttulo9Car">
    <w:name w:val="Título 9 Car"/>
    <w:link w:val="Ttulo9"/>
    <w:rsid w:val="005D20EE"/>
    <w:rPr>
      <w:rFonts w:ascii="Cambria" w:eastAsia="Symbol" w:hAnsi="Cambria" w:cs="Cambria"/>
      <w:i/>
      <w:color w:val="404040"/>
      <w:lang w:val="es-ES" w:eastAsia="es-ES"/>
    </w:rPr>
  </w:style>
  <w:style w:type="paragraph" w:customStyle="1" w:styleId="Epgrafe2">
    <w:name w:val="Epígrafe2"/>
    <w:basedOn w:val="Normal"/>
    <w:next w:val="Normal"/>
    <w:uiPriority w:val="99"/>
    <w:rsid w:val="005D20EE"/>
    <w:pPr>
      <w:spacing w:after="0" w:line="240" w:lineRule="auto"/>
      <w:jc w:val="center"/>
    </w:pPr>
    <w:rPr>
      <w:rFonts w:ascii="Arial" w:eastAsia="Times New Roman" w:hAnsi="Arial"/>
      <w:b/>
      <w:sz w:val="18"/>
      <w:szCs w:val="20"/>
      <w:lang w:val="es-ES" w:eastAsia="es-ES"/>
    </w:rPr>
  </w:style>
  <w:style w:type="character" w:styleId="nfasis">
    <w:name w:val="Emphasis"/>
    <w:uiPriority w:val="20"/>
    <w:qFormat/>
    <w:rsid w:val="00061DD8"/>
    <w:rPr>
      <w:i/>
      <w:iCs/>
    </w:rPr>
  </w:style>
  <w:style w:type="paragraph" w:customStyle="1" w:styleId="Default">
    <w:name w:val="Default"/>
    <w:rsid w:val="00541804"/>
    <w:pPr>
      <w:autoSpaceDE w:val="0"/>
      <w:autoSpaceDN w:val="0"/>
      <w:adjustRightInd w:val="0"/>
    </w:pPr>
    <w:rPr>
      <w:rFonts w:ascii="Times New Roman" w:hAnsi="Times New Roman"/>
      <w:color w:val="000000"/>
      <w:sz w:val="24"/>
      <w:szCs w:val="24"/>
      <w:lang w:val="es-VE" w:eastAsia="es-VE"/>
    </w:rPr>
  </w:style>
  <w:style w:type="character" w:customStyle="1" w:styleId="st1">
    <w:name w:val="st1"/>
    <w:rsid w:val="002B6ECE"/>
  </w:style>
  <w:style w:type="character" w:customStyle="1" w:styleId="NormalWebCar">
    <w:name w:val="Normal (Web) Car"/>
    <w:aliases w:val="Car Car"/>
    <w:link w:val="NormalWeb"/>
    <w:uiPriority w:val="99"/>
    <w:locked/>
    <w:rsid w:val="007467F9"/>
    <w:rPr>
      <w:rFonts w:ascii="Times New Roman" w:eastAsia="Times New Roman" w:hAnsi="Times New Roman"/>
      <w:sz w:val="24"/>
      <w:szCs w:val="24"/>
      <w:lang w:val="es-ES" w:eastAsia="es-ES"/>
    </w:rPr>
  </w:style>
  <w:style w:type="character" w:styleId="Textoennegrita">
    <w:name w:val="Strong"/>
    <w:uiPriority w:val="22"/>
    <w:qFormat/>
    <w:rsid w:val="007467F9"/>
    <w:rPr>
      <w:b/>
      <w:bCs/>
    </w:rPr>
  </w:style>
  <w:style w:type="paragraph" w:customStyle="1" w:styleId="Standard">
    <w:name w:val="Standard"/>
    <w:uiPriority w:val="99"/>
    <w:rsid w:val="007467F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Cuerpodetexto">
    <w:name w:val="Cuerpo de texto"/>
    <w:basedOn w:val="Normal"/>
    <w:uiPriority w:val="99"/>
    <w:rsid w:val="007467F9"/>
    <w:pPr>
      <w:tabs>
        <w:tab w:val="left" w:pos="708"/>
      </w:tabs>
      <w:suppressAutoHyphens/>
      <w:spacing w:after="120" w:line="276" w:lineRule="auto"/>
    </w:pPr>
    <w:rPr>
      <w:lang w:val="es-VE" w:eastAsia="es-VE"/>
    </w:rPr>
  </w:style>
  <w:style w:type="paragraph" w:customStyle="1" w:styleId="biblio">
    <w:name w:val="biblio"/>
    <w:basedOn w:val="Normal"/>
    <w:rsid w:val="007467F9"/>
    <w:pPr>
      <w:spacing w:after="75" w:line="348" w:lineRule="atLeast"/>
    </w:pPr>
    <w:rPr>
      <w:rFonts w:ascii="Times New Roman" w:eastAsia="Times New Roman" w:hAnsi="Times New Roman"/>
      <w:sz w:val="24"/>
      <w:szCs w:val="24"/>
      <w:lang w:val="es-VE" w:eastAsia="es-VE"/>
    </w:rPr>
  </w:style>
  <w:style w:type="paragraph" w:styleId="Sangra3detindependiente">
    <w:name w:val="Body Text Indent 3"/>
    <w:basedOn w:val="Normal"/>
    <w:link w:val="Sangra3detindependienteCar"/>
    <w:uiPriority w:val="99"/>
    <w:semiHidden/>
    <w:unhideWhenUsed/>
    <w:rsid w:val="00620005"/>
    <w:pPr>
      <w:spacing w:after="120"/>
      <w:ind w:left="283"/>
    </w:pPr>
    <w:rPr>
      <w:sz w:val="16"/>
      <w:szCs w:val="16"/>
    </w:rPr>
  </w:style>
  <w:style w:type="character" w:customStyle="1" w:styleId="Sangra3detindependienteCar">
    <w:name w:val="Sangría 3 de t. independiente Car"/>
    <w:link w:val="Sangra3detindependiente"/>
    <w:uiPriority w:val="99"/>
    <w:semiHidden/>
    <w:rsid w:val="00620005"/>
    <w:rPr>
      <w:sz w:val="16"/>
      <w:szCs w:val="16"/>
      <w:lang w:eastAsia="en-US"/>
    </w:rPr>
  </w:style>
  <w:style w:type="paragraph" w:styleId="Textodebloque">
    <w:name w:val="Block Text"/>
    <w:basedOn w:val="Normal"/>
    <w:uiPriority w:val="99"/>
    <w:semiHidden/>
    <w:unhideWhenUsed/>
    <w:rsid w:val="00620005"/>
    <w:pPr>
      <w:spacing w:after="0" w:line="240" w:lineRule="auto"/>
      <w:ind w:left="1134" w:right="1134" w:firstLine="539"/>
    </w:pPr>
    <w:rPr>
      <w:rFonts w:ascii="Times New Roman" w:eastAsia="Times New Roman" w:hAnsi="Times New Roman"/>
      <w:sz w:val="24"/>
      <w:szCs w:val="24"/>
      <w:lang w:val="es-ES" w:eastAsia="es-VE"/>
    </w:rPr>
  </w:style>
  <w:style w:type="character" w:customStyle="1" w:styleId="SinespaciadoCar">
    <w:name w:val="Sin espaciado Car"/>
    <w:aliases w:val="PÁRRAFO Car,espaciado sin Car,redacción Car"/>
    <w:link w:val="Sinespaciado"/>
    <w:uiPriority w:val="1"/>
    <w:rsid w:val="0032072F"/>
    <w:rPr>
      <w:sz w:val="22"/>
      <w:szCs w:val="22"/>
      <w:lang w:eastAsia="en-US"/>
    </w:rPr>
  </w:style>
  <w:style w:type="paragraph" w:styleId="Listaconvietas2">
    <w:name w:val="List Bullet 2"/>
    <w:basedOn w:val="Normal"/>
    <w:uiPriority w:val="99"/>
    <w:unhideWhenUsed/>
    <w:rsid w:val="00C93633"/>
    <w:pPr>
      <w:spacing w:after="200" w:line="276" w:lineRule="auto"/>
      <w:contextualSpacing/>
    </w:pPr>
    <w:rPr>
      <w:lang w:eastAsia="es-EC"/>
    </w:rPr>
  </w:style>
  <w:style w:type="character" w:customStyle="1" w:styleId="tlid-translation">
    <w:name w:val="tlid-translation"/>
    <w:rsid w:val="00C93633"/>
  </w:style>
  <w:style w:type="character" w:customStyle="1" w:styleId="apple-converted-space">
    <w:name w:val="apple-converted-space"/>
    <w:rsid w:val="008E4AF8"/>
  </w:style>
  <w:style w:type="character" w:customStyle="1" w:styleId="Refdecomentario1">
    <w:name w:val="Ref. de comentario1"/>
    <w:rsid w:val="008E4AF8"/>
    <w:rPr>
      <w:sz w:val="16"/>
      <w:szCs w:val="16"/>
    </w:rPr>
  </w:style>
  <w:style w:type="character" w:customStyle="1" w:styleId="A6">
    <w:name w:val="A6"/>
    <w:rsid w:val="008E4AF8"/>
    <w:rPr>
      <w:rFonts w:cs="Humanst521 BT"/>
      <w:color w:val="000000"/>
      <w:sz w:val="22"/>
      <w:szCs w:val="22"/>
    </w:rPr>
  </w:style>
  <w:style w:type="table" w:customStyle="1" w:styleId="Tablaconcuadrcula1">
    <w:name w:val="Tabla con cuadrícula1"/>
    <w:basedOn w:val="Tablanormal"/>
    <w:next w:val="Tablaconcuadrcula"/>
    <w:uiPriority w:val="39"/>
    <w:rsid w:val="0005050D"/>
    <w:rPr>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cid-id-https">
    <w:name w:val="orcid-id-https"/>
    <w:rsid w:val="006C6AD0"/>
  </w:style>
  <w:style w:type="paragraph" w:customStyle="1" w:styleId="Epgrafe">
    <w:name w:val="Epígrafe"/>
    <w:basedOn w:val="Normal"/>
    <w:next w:val="Normal"/>
    <w:uiPriority w:val="35"/>
    <w:unhideWhenUsed/>
    <w:qFormat/>
    <w:rsid w:val="00BF53E8"/>
    <w:pPr>
      <w:spacing w:after="200" w:line="240" w:lineRule="auto"/>
    </w:pPr>
    <w:rPr>
      <w:rFonts w:ascii="Times New Roman" w:hAnsi="Times New Roman"/>
      <w:i/>
      <w:iCs/>
      <w:color w:val="1F497D"/>
      <w:sz w:val="18"/>
      <w:szCs w:val="18"/>
      <w:lang w:val="es-ES"/>
    </w:rPr>
  </w:style>
  <w:style w:type="paragraph" w:customStyle="1" w:styleId="CM95">
    <w:name w:val="CM95"/>
    <w:basedOn w:val="Normal"/>
    <w:next w:val="Normal"/>
    <w:uiPriority w:val="99"/>
    <w:rsid w:val="00432FB1"/>
    <w:pPr>
      <w:autoSpaceDE w:val="0"/>
      <w:autoSpaceDN w:val="0"/>
      <w:adjustRightInd w:val="0"/>
      <w:spacing w:after="0" w:line="240" w:lineRule="auto"/>
    </w:pPr>
    <w:rPr>
      <w:rFonts w:ascii="BCHPD G+ Times Ten" w:hAnsi="BCHPD G+ Times Ten"/>
      <w:sz w:val="24"/>
      <w:szCs w:val="24"/>
      <w:lang w:val="es-VE"/>
    </w:rPr>
  </w:style>
  <w:style w:type="table" w:styleId="Sombreadoclaro-nfasis4">
    <w:name w:val="Light Shading Accent 4"/>
    <w:basedOn w:val="Tablanormal"/>
    <w:uiPriority w:val="60"/>
    <w:rsid w:val="00432FB1"/>
    <w:rPr>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Tablaconcuadrcula2">
    <w:name w:val="Tabla con cuadrícula2"/>
    <w:basedOn w:val="Tablanormal"/>
    <w:next w:val="Tablaconcuadrcula"/>
    <w:uiPriority w:val="39"/>
    <w:rsid w:val="00075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DE3E46"/>
    <w:rPr>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vistoso-nfasis1">
    <w:name w:val="Colorful Shading Accent 1"/>
    <w:basedOn w:val="Tablanormal"/>
    <w:uiPriority w:val="71"/>
    <w:rsid w:val="00EF3B27"/>
    <w:rPr>
      <w:color w:val="000000"/>
      <w:sz w:val="22"/>
      <w:szCs w:val="22"/>
      <w:lang w:val="es-E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ombreadovistoso-nfasis11">
    <w:name w:val="Sombreado vistoso - Énfasis 11"/>
    <w:basedOn w:val="Tablanormal"/>
    <w:next w:val="Sombreadovistoso-nfasis1"/>
    <w:uiPriority w:val="71"/>
    <w:rsid w:val="00EF3B27"/>
    <w:rPr>
      <w:color w:val="000000"/>
      <w:sz w:val="22"/>
      <w:szCs w:val="22"/>
      <w:lang w:val="es-E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Sombreadoclaro-nfasis3">
    <w:name w:val="Light Shading Accent 3"/>
    <w:basedOn w:val="Tablanormal"/>
    <w:uiPriority w:val="60"/>
    <w:rsid w:val="00800B4F"/>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ombreadoclaro-nfasis31">
    <w:name w:val="Sombreado claro - Énfasis 31"/>
    <w:basedOn w:val="Tablanormal"/>
    <w:next w:val="Sombreadoclaro-nfasis3"/>
    <w:uiPriority w:val="60"/>
    <w:rsid w:val="00A2109F"/>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ombreadoclaro-nfasis32">
    <w:name w:val="Sombreado claro - Énfasis 32"/>
    <w:basedOn w:val="Tablanormal"/>
    <w:next w:val="Sombreadoclaro-nfasis3"/>
    <w:uiPriority w:val="60"/>
    <w:rsid w:val="00D748F3"/>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styleId="Refdenotaalpie">
    <w:name w:val="footnote reference"/>
    <w:uiPriority w:val="99"/>
    <w:semiHidden/>
    <w:unhideWhenUsed/>
    <w:rsid w:val="00315815"/>
    <w:rPr>
      <w:vertAlign w:val="superscript"/>
    </w:rPr>
  </w:style>
  <w:style w:type="character" w:customStyle="1" w:styleId="Mencinsinresolver1">
    <w:name w:val="Mención sin resolver1"/>
    <w:uiPriority w:val="99"/>
    <w:semiHidden/>
    <w:unhideWhenUsed/>
    <w:rsid w:val="005C6EEF"/>
    <w:rPr>
      <w:color w:val="605E5C"/>
      <w:shd w:val="clear" w:color="auto" w:fill="E1DFDD"/>
    </w:rPr>
  </w:style>
  <w:style w:type="table" w:customStyle="1" w:styleId="Tablaconcuadrcula3">
    <w:name w:val="Tabla con cuadrícula3"/>
    <w:basedOn w:val="Tablanormal"/>
    <w:next w:val="Tablaconcuadrcula"/>
    <w:uiPriority w:val="39"/>
    <w:rsid w:val="00B80D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B80D83"/>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anormal"/>
    <w:uiPriority w:val="42"/>
    <w:rsid w:val="00B80D83"/>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5">
    <w:name w:val="Plain Table 25"/>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uiPriority w:val="39"/>
    <w:rsid w:val="007A5D7B"/>
    <w:pPr>
      <w:suppressAutoHyphens/>
    </w:pPr>
    <w:rPr>
      <w:rFonts w:ascii="Liberation Serif" w:eastAsia="SimSun" w:hAnsi="Liberation Serif" w:cs="Lohit Devanagari"/>
      <w:kern w:val="2"/>
      <w:szCs w:val="24"/>
      <w:lang w:val="es-VE"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qFormat/>
    <w:rsid w:val="005C13BB"/>
    <w:pPr>
      <w:suppressLineNumbers/>
      <w:suppressAutoHyphens/>
      <w:overflowPunct w:val="0"/>
      <w:spacing w:after="0" w:line="360" w:lineRule="auto"/>
      <w:ind w:firstLine="284"/>
      <w:jc w:val="both"/>
    </w:pPr>
    <w:rPr>
      <w:rFonts w:cs="DejaVu Sans"/>
      <w:lang w:val="es-MX"/>
    </w:rPr>
  </w:style>
  <w:style w:type="table" w:customStyle="1" w:styleId="Tablaconcuadrcula5">
    <w:name w:val="Tabla con cuadrícula5"/>
    <w:basedOn w:val="Tablanormal"/>
    <w:next w:val="Tablaconcuadrcula"/>
    <w:uiPriority w:val="39"/>
    <w:rsid w:val="009E456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basedOn w:val="Tablanormal"/>
    <w:next w:val="Tabladelista6concolores"/>
    <w:uiPriority w:val="51"/>
    <w:rsid w:val="00B11B96"/>
    <w:rPr>
      <w:rFonts w:ascii="Cambria" w:eastAsia="Cambria" w:hAnsi="Cambria"/>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6concolores">
    <w:name w:val="List Table 6 Colorful"/>
    <w:basedOn w:val="Tablanormal"/>
    <w:uiPriority w:val="51"/>
    <w:rsid w:val="00B11B96"/>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6">
    <w:name w:val="Tabla con cuadrícula6"/>
    <w:basedOn w:val="Tablanormal"/>
    <w:next w:val="Tablaconcuadrcula"/>
    <w:uiPriority w:val="59"/>
    <w:rsid w:val="004C55CC"/>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000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836F75"/>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C7F06"/>
    <w:pPr>
      <w:widowControl w:val="0"/>
      <w:autoSpaceDE w:val="0"/>
      <w:autoSpaceDN w:val="0"/>
    </w:pPr>
    <w:rPr>
      <w:rFonts w:ascii="Cambria" w:eastAsia="Cambria"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C341C"/>
  </w:style>
  <w:style w:type="table" w:customStyle="1" w:styleId="Tablaconcuadrcula10">
    <w:name w:val="Tabla con cuadrícula10"/>
    <w:basedOn w:val="Tablanormal"/>
    <w:next w:val="Tablaconcuadrcula"/>
    <w:uiPriority w:val="39"/>
    <w:rsid w:val="00FC341C"/>
    <w:pPr>
      <w:jc w:val="both"/>
    </w:pPr>
    <w:rPr>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C341C"/>
    <w:pPr>
      <w:pBdr>
        <w:top w:val="nil"/>
        <w:left w:val="nil"/>
        <w:bottom w:val="nil"/>
        <w:right w:val="nil"/>
        <w:between w:val="nil"/>
        <w:bar w:val="nil"/>
      </w:pBdr>
    </w:pPr>
    <w:rPr>
      <w:rFonts w:ascii="Helvetica Neue" w:eastAsia="Arial Unicode MS" w:hAnsi="Helvetica Neue" w:cs="Arial Unicode MS"/>
      <w:color w:val="000000"/>
      <w:sz w:val="22"/>
      <w:szCs w:val="22"/>
      <w:bdr w:val="nil"/>
      <w:lang w:val="fr-FR" w:eastAsia="es-PE"/>
    </w:rPr>
  </w:style>
  <w:style w:type="table" w:customStyle="1" w:styleId="Tablanormal211">
    <w:name w:val="Tabla normal 211"/>
    <w:basedOn w:val="Tablanormal"/>
    <w:uiPriority w:val="42"/>
    <w:rsid w:val="00015F6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4">
    <w:name w:val="Plain Table 4"/>
    <w:basedOn w:val="Tablanormal"/>
    <w:uiPriority w:val="44"/>
    <w:rsid w:val="00015F62"/>
    <w:rPr>
      <w:sz w:val="22"/>
      <w:szCs w:val="22"/>
      <w:lang w:val="es-E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2">
    <w:name w:val="Plain Table 2"/>
    <w:basedOn w:val="Tablanormal"/>
    <w:uiPriority w:val="42"/>
    <w:rsid w:val="00015F62"/>
    <w:rPr>
      <w:sz w:val="22"/>
      <w:szCs w:val="22"/>
      <w:lang w:val="es-E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inlista2">
    <w:name w:val="Sin lista2"/>
    <w:next w:val="Sinlista"/>
    <w:uiPriority w:val="99"/>
    <w:semiHidden/>
    <w:unhideWhenUsed/>
    <w:rsid w:val="00797722"/>
  </w:style>
  <w:style w:type="paragraph" w:styleId="Asuntodelcomentario">
    <w:name w:val="annotation subject"/>
    <w:basedOn w:val="Textocomentario"/>
    <w:next w:val="Textocomentario"/>
    <w:link w:val="AsuntodelcomentarioCar"/>
    <w:uiPriority w:val="99"/>
    <w:semiHidden/>
    <w:unhideWhenUsed/>
    <w:qFormat/>
    <w:rsid w:val="00797722"/>
    <w:rPr>
      <w:b/>
      <w:bCs/>
    </w:rPr>
  </w:style>
  <w:style w:type="character" w:customStyle="1" w:styleId="AsuntodelcomentarioCar">
    <w:name w:val="Asunto del comentario Car"/>
    <w:link w:val="Asuntodelcomentario"/>
    <w:uiPriority w:val="99"/>
    <w:semiHidden/>
    <w:qFormat/>
    <w:rsid w:val="00797722"/>
    <w:rPr>
      <w:b/>
      <w:bCs/>
      <w:sz w:val="20"/>
      <w:szCs w:val="20"/>
      <w:lang w:eastAsia="en-US"/>
    </w:rPr>
  </w:style>
  <w:style w:type="paragraph" w:styleId="Revisin">
    <w:name w:val="Revision"/>
    <w:hidden/>
    <w:uiPriority w:val="99"/>
    <w:semiHidden/>
    <w:qFormat/>
    <w:rsid w:val="00797722"/>
    <w:rPr>
      <w:sz w:val="22"/>
      <w:szCs w:val="22"/>
      <w:lang w:eastAsia="en-US"/>
    </w:rPr>
  </w:style>
  <w:style w:type="table" w:customStyle="1" w:styleId="Tablaconcuadrcula11">
    <w:name w:val="Tabla con cuadrícula11"/>
    <w:basedOn w:val="Tablanormal"/>
    <w:next w:val="Tablaconcuadrcula"/>
    <w:uiPriority w:val="39"/>
    <w:rsid w:val="0079772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2">
    <w:name w:val="Tabla de lista 6 con colores2"/>
    <w:basedOn w:val="Tablanormal"/>
    <w:next w:val="Tabladelista6concolores"/>
    <w:uiPriority w:val="51"/>
    <w:rsid w:val="00797722"/>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extonotapie">
    <w:name w:val="footnote text"/>
    <w:basedOn w:val="Normal"/>
    <w:link w:val="TextonotapieCar"/>
    <w:uiPriority w:val="99"/>
    <w:unhideWhenUsed/>
    <w:rsid w:val="002746B7"/>
    <w:pPr>
      <w:spacing w:after="0" w:line="240" w:lineRule="auto"/>
    </w:pPr>
    <w:rPr>
      <w:sz w:val="20"/>
      <w:szCs w:val="20"/>
    </w:rPr>
  </w:style>
  <w:style w:type="character" w:customStyle="1" w:styleId="TextonotapieCar">
    <w:name w:val="Texto nota pie Car"/>
    <w:link w:val="Textonotapie"/>
    <w:uiPriority w:val="99"/>
    <w:rsid w:val="002746B7"/>
    <w:rPr>
      <w:lang w:eastAsia="en-US"/>
    </w:rPr>
  </w:style>
  <w:style w:type="table" w:customStyle="1" w:styleId="Tablanormal22">
    <w:name w:val="Tabla normal 22"/>
    <w:basedOn w:val="Tablanormal"/>
    <w:next w:val="Tablanormal2"/>
    <w:uiPriority w:val="42"/>
    <w:rsid w:val="008F75DF"/>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51">
    <w:name w:val="Tabla normal 51"/>
    <w:basedOn w:val="Tablanormal"/>
    <w:next w:val="Tablanormal5"/>
    <w:uiPriority w:val="45"/>
    <w:rsid w:val="00C32E52"/>
    <w:rPr>
      <w:rFonts w:eastAsia="Times New Roman"/>
      <w:sz w:val="22"/>
      <w:szCs w:val="22"/>
      <w:lang w:val="es-CO"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C32E52"/>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2">
    <w:name w:val="Tabla con cuadrícula12"/>
    <w:basedOn w:val="Tablanormal"/>
    <w:next w:val="Tablaconcuadrcula"/>
    <w:uiPriority w:val="39"/>
    <w:rsid w:val="00670E5B"/>
    <w:rPr>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9F0F7E"/>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3">
    <w:name w:val="Tabla de lista 6 con colores3"/>
    <w:basedOn w:val="Tablanormal"/>
    <w:next w:val="Tabladelista6concolores"/>
    <w:uiPriority w:val="51"/>
    <w:rsid w:val="000A400E"/>
    <w:rPr>
      <w:color w:val="000000"/>
      <w:sz w:val="24"/>
      <w:szCs w:val="24"/>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
    <w:name w:val="Table Normal"/>
    <w:uiPriority w:val="2"/>
    <w:semiHidden/>
    <w:unhideWhenUsed/>
    <w:qFormat/>
    <w:rsid w:val="008E0D9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adelista6concolores11">
    <w:name w:val="Tabla de lista 6 con colores11"/>
    <w:basedOn w:val="Tablanormal"/>
    <w:uiPriority w:val="51"/>
    <w:rsid w:val="008E0D91"/>
    <w:rPr>
      <w:color w:val="000000"/>
      <w:sz w:val="22"/>
      <w:szCs w:val="22"/>
      <w:lang w:val="es-ES"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4">
    <w:name w:val="Tabla con cuadrícula14"/>
    <w:basedOn w:val="Tablanormal"/>
    <w:next w:val="Tablaconcuadrcula"/>
    <w:uiPriority w:val="39"/>
    <w:rsid w:val="0048577C"/>
    <w:rPr>
      <w:rFonts w:ascii="Arial" w:hAnsi="Arial" w:cs="Arial"/>
      <w:sz w:val="24"/>
      <w:szCs w:val="24"/>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7E3D61"/>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7E3D61"/>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0B49E6"/>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FC2D7E"/>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D7202"/>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0D7202"/>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adecuadrcula1clara-nfasis51">
    <w:name w:val="Tabla de cuadrícula 1 clara - Énfasis 51"/>
    <w:basedOn w:val="Tablanormal"/>
    <w:next w:val="Tablaconcuadrcula1clara-nfasis5"/>
    <w:uiPriority w:val="46"/>
    <w:rsid w:val="00436019"/>
    <w:rPr>
      <w:sz w:val="22"/>
      <w:szCs w:val="22"/>
      <w:lang w:val="es-MX"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43601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lista6concolores4">
    <w:name w:val="Tabla de lista 6 con colores4"/>
    <w:basedOn w:val="Tablanormal"/>
    <w:next w:val="Tabladelista6concolores"/>
    <w:uiPriority w:val="51"/>
    <w:rsid w:val="002452B3"/>
    <w:rPr>
      <w:color w:val="000000"/>
      <w:sz w:val="22"/>
      <w:szCs w:val="22"/>
      <w:lang w:val="es-P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212">
    <w:name w:val="Tabla normal 212"/>
    <w:basedOn w:val="Tablanormal"/>
    <w:uiPriority w:val="42"/>
    <w:rsid w:val="00B378EC"/>
    <w:rPr>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3">
    <w:name w:val="Tabla normal 23"/>
    <w:basedOn w:val="Tablanormal"/>
    <w:next w:val="Tablanormal2"/>
    <w:uiPriority w:val="42"/>
    <w:rsid w:val="00C424C3"/>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8">
    <w:name w:val="Tabla con cuadrícula18"/>
    <w:basedOn w:val="Tablanormal"/>
    <w:next w:val="Tablaconcuadrcula"/>
    <w:uiPriority w:val="39"/>
    <w:rsid w:val="00F664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
    <w:uiPriority w:val="43"/>
    <w:rsid w:val="00A7106F"/>
    <w:rPr>
      <w:rFonts w:cs="SimSun"/>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normal3">
    <w:name w:val="Plain Table 3"/>
    <w:basedOn w:val="Tablanormal"/>
    <w:uiPriority w:val="43"/>
    <w:rsid w:val="00A7106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19">
    <w:name w:val="Tabla con cuadrícula19"/>
    <w:basedOn w:val="Tablanormal"/>
    <w:next w:val="Tablaconcuadrcula"/>
    <w:uiPriority w:val="39"/>
    <w:rsid w:val="009172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7D3B"/>
  </w:style>
  <w:style w:type="table" w:customStyle="1" w:styleId="TableNormal2">
    <w:name w:val="Table Normal2"/>
    <w:uiPriority w:val="2"/>
    <w:qFormat/>
    <w:rsid w:val="00C27D3B"/>
    <w:pPr>
      <w:spacing w:after="200" w:line="276" w:lineRule="auto"/>
    </w:pPr>
    <w:rPr>
      <w:rFonts w:ascii="Arial" w:eastAsia="Arial" w:hAnsi="Arial" w:cs="Arial"/>
      <w:sz w:val="24"/>
      <w:szCs w:val="24"/>
    </w:rPr>
    <w:tblPr>
      <w:tblCellMar>
        <w:top w:w="0" w:type="dxa"/>
        <w:left w:w="0" w:type="dxa"/>
        <w:bottom w:w="0" w:type="dxa"/>
        <w:right w:w="0" w:type="dxa"/>
      </w:tblCellMar>
    </w:tblPr>
  </w:style>
  <w:style w:type="paragraph" w:styleId="Ttulo">
    <w:name w:val="Title"/>
    <w:basedOn w:val="Normal"/>
    <w:next w:val="Normal"/>
    <w:link w:val="TtuloCar"/>
    <w:uiPriority w:val="10"/>
    <w:qFormat/>
    <w:rsid w:val="00C27D3B"/>
    <w:pPr>
      <w:keepNext/>
      <w:keepLines/>
      <w:spacing w:before="480" w:after="120" w:line="276" w:lineRule="auto"/>
    </w:pPr>
    <w:rPr>
      <w:rFonts w:ascii="Arial" w:eastAsia="Arial" w:hAnsi="Arial" w:cs="Arial"/>
      <w:b/>
      <w:sz w:val="72"/>
      <w:szCs w:val="72"/>
      <w:lang w:eastAsia="es-EC"/>
    </w:rPr>
  </w:style>
  <w:style w:type="character" w:customStyle="1" w:styleId="TtuloCar">
    <w:name w:val="Título Car"/>
    <w:link w:val="Ttulo"/>
    <w:uiPriority w:val="10"/>
    <w:rsid w:val="00C27D3B"/>
    <w:rPr>
      <w:rFonts w:ascii="Arial" w:eastAsia="Arial" w:hAnsi="Arial" w:cs="Arial"/>
      <w:b/>
      <w:sz w:val="72"/>
      <w:szCs w:val="72"/>
    </w:rPr>
  </w:style>
  <w:style w:type="paragraph" w:customStyle="1" w:styleId="Descripcin1">
    <w:name w:val="Descripción1"/>
    <w:basedOn w:val="Normal"/>
    <w:next w:val="Normal"/>
    <w:uiPriority w:val="35"/>
    <w:unhideWhenUsed/>
    <w:qFormat/>
    <w:rsid w:val="00C27D3B"/>
    <w:pPr>
      <w:spacing w:after="200" w:line="240" w:lineRule="auto"/>
    </w:pPr>
    <w:rPr>
      <w:rFonts w:ascii="Arial" w:eastAsia="Arial" w:hAnsi="Arial" w:cs="Arial"/>
      <w:b/>
      <w:bCs/>
      <w:color w:val="4F81BD"/>
      <w:sz w:val="18"/>
      <w:szCs w:val="18"/>
      <w:lang w:eastAsia="es-EC"/>
    </w:rPr>
  </w:style>
  <w:style w:type="table" w:customStyle="1" w:styleId="Sombreadoclaro-nfasis11">
    <w:name w:val="Sombreado claro - Énfasis 11"/>
    <w:basedOn w:val="Tablanormal"/>
    <w:next w:val="Sombreadoclaro-nfasis1"/>
    <w:uiPriority w:val="60"/>
    <w:rsid w:val="00C27D3B"/>
    <w:rPr>
      <w:rFonts w:ascii="Arial" w:eastAsia="Arial" w:hAnsi="Arial" w:cs="Arial"/>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
    <w:name w:val="Sombreado claro1"/>
    <w:basedOn w:val="Tablanormal"/>
    <w:next w:val="Sombreadoclaro"/>
    <w:uiPriority w:val="60"/>
    <w:rsid w:val="00C27D3B"/>
    <w:rPr>
      <w:rFonts w:ascii="Arial" w:eastAsia="Arial" w:hAnsi="Arial" w:cs="Arial"/>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33">
    <w:name w:val="Sombreado claro - Énfasis 33"/>
    <w:basedOn w:val="Tablanormal"/>
    <w:next w:val="Sombreadoclaro-nfasis3"/>
    <w:uiPriority w:val="60"/>
    <w:rsid w:val="00C27D3B"/>
    <w:rPr>
      <w:rFonts w:ascii="Arial" w:eastAsia="Arial" w:hAnsi="Arial" w:cs="Arial"/>
      <w:color w:val="76923C"/>
      <w:sz w:val="24"/>
      <w:szCs w:val="24"/>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tulodeTDC1">
    <w:name w:val="Título de TDC1"/>
    <w:basedOn w:val="Ttulo1"/>
    <w:next w:val="Normal"/>
    <w:uiPriority w:val="39"/>
    <w:semiHidden/>
    <w:unhideWhenUsed/>
    <w:qFormat/>
    <w:rsid w:val="00C27D3B"/>
    <w:pPr>
      <w:numPr>
        <w:numId w:val="0"/>
      </w:numPr>
      <w:spacing w:line="276" w:lineRule="auto"/>
      <w:jc w:val="left"/>
      <w:outlineLvl w:val="9"/>
    </w:pPr>
    <w:rPr>
      <w:rFonts w:ascii="Cambria" w:hAnsi="Cambria"/>
      <w:bCs/>
      <w:color w:val="365F91"/>
      <w:szCs w:val="28"/>
      <w:lang w:val="es-EC" w:eastAsia="es-EC"/>
    </w:rPr>
  </w:style>
  <w:style w:type="paragraph" w:styleId="TDC1">
    <w:name w:val="toc 1"/>
    <w:basedOn w:val="Normal"/>
    <w:next w:val="Normal"/>
    <w:autoRedefine/>
    <w:uiPriority w:val="39"/>
    <w:unhideWhenUsed/>
    <w:rsid w:val="00C27D3B"/>
    <w:pPr>
      <w:spacing w:after="100" w:line="276" w:lineRule="auto"/>
    </w:pPr>
    <w:rPr>
      <w:rFonts w:ascii="Arial" w:eastAsia="Arial" w:hAnsi="Arial" w:cs="Arial"/>
      <w:sz w:val="24"/>
      <w:szCs w:val="24"/>
      <w:lang w:eastAsia="es-EC"/>
    </w:rPr>
  </w:style>
  <w:style w:type="paragraph" w:styleId="TDC2">
    <w:name w:val="toc 2"/>
    <w:basedOn w:val="Normal"/>
    <w:next w:val="Normal"/>
    <w:autoRedefine/>
    <w:uiPriority w:val="39"/>
    <w:unhideWhenUsed/>
    <w:rsid w:val="00C27D3B"/>
    <w:pPr>
      <w:spacing w:after="100" w:line="276" w:lineRule="auto"/>
      <w:ind w:left="240"/>
    </w:pPr>
    <w:rPr>
      <w:rFonts w:ascii="Arial" w:eastAsia="Arial" w:hAnsi="Arial" w:cs="Arial"/>
      <w:sz w:val="24"/>
      <w:szCs w:val="24"/>
      <w:lang w:eastAsia="es-EC"/>
    </w:rPr>
  </w:style>
  <w:style w:type="paragraph" w:styleId="TDC3">
    <w:name w:val="toc 3"/>
    <w:basedOn w:val="Normal"/>
    <w:next w:val="Normal"/>
    <w:autoRedefine/>
    <w:uiPriority w:val="39"/>
    <w:unhideWhenUsed/>
    <w:rsid w:val="00C27D3B"/>
    <w:pPr>
      <w:spacing w:after="100" w:line="276" w:lineRule="auto"/>
      <w:ind w:left="480"/>
    </w:pPr>
    <w:rPr>
      <w:rFonts w:ascii="Arial" w:eastAsia="Arial" w:hAnsi="Arial" w:cs="Arial"/>
      <w:sz w:val="24"/>
      <w:szCs w:val="24"/>
      <w:lang w:eastAsia="es-EC"/>
    </w:rPr>
  </w:style>
  <w:style w:type="paragraph" w:styleId="HTMLconformatoprevio">
    <w:name w:val="HTML Preformatted"/>
    <w:basedOn w:val="Normal"/>
    <w:link w:val="HTMLconformatoprevioCar"/>
    <w:uiPriority w:val="99"/>
    <w:unhideWhenUsed/>
    <w:rsid w:val="00C27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link w:val="HTMLconformatoprevio"/>
    <w:uiPriority w:val="99"/>
    <w:rsid w:val="00C27D3B"/>
    <w:rPr>
      <w:rFonts w:ascii="Courier New" w:eastAsia="Times New Roman" w:hAnsi="Courier New" w:cs="Courier New"/>
    </w:rPr>
  </w:style>
  <w:style w:type="character" w:customStyle="1" w:styleId="y2iqfc">
    <w:name w:val="y2iqfc"/>
    <w:rsid w:val="00C27D3B"/>
  </w:style>
  <w:style w:type="table" w:customStyle="1" w:styleId="Listamedia1-nfasis31">
    <w:name w:val="Lista media 1 - Énfasis 31"/>
    <w:basedOn w:val="Tablanormal"/>
    <w:next w:val="Listamedia1-nfasis3"/>
    <w:uiPriority w:val="65"/>
    <w:rsid w:val="00C27D3B"/>
    <w:rPr>
      <w:rFonts w:ascii="Arial" w:eastAsia="Arial" w:hAnsi="Arial" w:cs="Arial"/>
      <w:color w:val="000000"/>
      <w:sz w:val="24"/>
      <w:szCs w:val="24"/>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Subttulo">
    <w:name w:val="Subtitle"/>
    <w:basedOn w:val="Normal"/>
    <w:next w:val="Normal"/>
    <w:link w:val="SubttuloCar"/>
    <w:rsid w:val="00C27D3B"/>
    <w:pPr>
      <w:keepNext/>
      <w:keepLines/>
      <w:spacing w:before="360" w:after="80" w:line="276" w:lineRule="auto"/>
    </w:pPr>
    <w:rPr>
      <w:rFonts w:ascii="Georgia" w:eastAsia="Georgia" w:hAnsi="Georgia" w:cs="Georgia"/>
      <w:i/>
      <w:color w:val="666666"/>
      <w:sz w:val="48"/>
      <w:szCs w:val="48"/>
      <w:lang w:eastAsia="es-EC"/>
    </w:rPr>
  </w:style>
  <w:style w:type="character" w:customStyle="1" w:styleId="SubttuloCar">
    <w:name w:val="Subtítulo Car"/>
    <w:link w:val="Subttulo"/>
    <w:rsid w:val="00C27D3B"/>
    <w:rPr>
      <w:rFonts w:ascii="Georgia" w:eastAsia="Georgia" w:hAnsi="Georgia" w:cs="Georgia"/>
      <w:i/>
      <w:color w:val="666666"/>
      <w:sz w:val="48"/>
      <w:szCs w:val="48"/>
    </w:rPr>
  </w:style>
  <w:style w:type="table" w:customStyle="1" w:styleId="Tablanormal213">
    <w:name w:val="Tabla normal 213"/>
    <w:basedOn w:val="Tablanormal"/>
    <w:uiPriority w:val="42"/>
    <w:rsid w:val="00C27D3B"/>
    <w:rPr>
      <w:rFonts w:ascii="Arial" w:eastAsia="Arial" w:hAnsi="Arial" w:cs="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20">
    <w:name w:val="Tabla con cuadrícula20"/>
    <w:basedOn w:val="Tablanormal"/>
    <w:next w:val="Tablaconcuadrcula"/>
    <w:uiPriority w:val="39"/>
    <w:rsid w:val="00C27D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21">
    <w:name w:val="Tabla normal 221"/>
    <w:basedOn w:val="Tablanormal"/>
    <w:uiPriority w:val="42"/>
    <w:rsid w:val="00C27D3B"/>
    <w:rPr>
      <w:rFonts w:ascii="Arial" w:eastAsia="Arial" w:hAnsi="Arial" w:cs="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encinsinresolver10">
    <w:name w:val="Mención sin resolver1"/>
    <w:uiPriority w:val="99"/>
    <w:semiHidden/>
    <w:unhideWhenUsed/>
    <w:qFormat/>
    <w:rsid w:val="00C27D3B"/>
    <w:rPr>
      <w:color w:val="605E5C"/>
      <w:shd w:val="clear" w:color="auto" w:fill="E1DFDD"/>
    </w:rPr>
  </w:style>
  <w:style w:type="character" w:customStyle="1" w:styleId="markedcontent">
    <w:name w:val="markedcontent"/>
    <w:rsid w:val="00C27D3B"/>
  </w:style>
  <w:style w:type="table" w:styleId="Sombreadoclaro-nfasis1">
    <w:name w:val="Light Shading Accent 1"/>
    <w:basedOn w:val="Tablanormal"/>
    <w:uiPriority w:val="60"/>
    <w:semiHidden/>
    <w:unhideWhenUsed/>
    <w:rsid w:val="00C27D3B"/>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media1-nfasis3">
    <w:name w:val="Medium List 1 Accent 3"/>
    <w:basedOn w:val="Tablanormal"/>
    <w:uiPriority w:val="65"/>
    <w:semiHidden/>
    <w:unhideWhenUsed/>
    <w:rsid w:val="00C27D3B"/>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Tablaconcuadrcula21">
    <w:name w:val="Tabla con cuadrícula21"/>
    <w:basedOn w:val="Tablanormal"/>
    <w:next w:val="Tablaconcuadrcula"/>
    <w:uiPriority w:val="59"/>
    <w:rsid w:val="00844BEF"/>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E079C"/>
  </w:style>
  <w:style w:type="character" w:customStyle="1" w:styleId="hgkelc">
    <w:name w:val="hgkelc"/>
    <w:rsid w:val="001E079C"/>
  </w:style>
  <w:style w:type="character" w:customStyle="1" w:styleId="kx21rb">
    <w:name w:val="kx21rb"/>
    <w:rsid w:val="001E079C"/>
  </w:style>
  <w:style w:type="table" w:customStyle="1" w:styleId="Tablaconcuadrcula22">
    <w:name w:val="Tabla con cuadrícula22"/>
    <w:basedOn w:val="Tablanormal"/>
    <w:next w:val="Tablaconcuadrcula"/>
    <w:uiPriority w:val="39"/>
    <w:rsid w:val="001E079C"/>
    <w:pPr>
      <w:widowControl w:val="0"/>
    </w:pPr>
    <w:rPr>
      <w:rFonts w:ascii="Times New Roman" w:eastAsia="Times New Roman" w:hAnsi="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1E079C"/>
    <w:pPr>
      <w:numPr>
        <w:numId w:val="0"/>
      </w:numPr>
      <w:spacing w:before="240" w:line="259" w:lineRule="auto"/>
      <w:jc w:val="left"/>
      <w:outlineLvl w:val="9"/>
    </w:pPr>
    <w:rPr>
      <w:rFonts w:ascii="Calibri Light" w:hAnsi="Calibri Light"/>
      <w:b w:val="0"/>
      <w:color w:val="2E74B5"/>
      <w:sz w:val="32"/>
      <w:szCs w:val="32"/>
      <w:lang w:val="es-EC" w:eastAsia="es-EC"/>
    </w:rPr>
  </w:style>
  <w:style w:type="character" w:customStyle="1" w:styleId="dyjrff">
    <w:name w:val="dyjrff"/>
    <w:rsid w:val="001E079C"/>
  </w:style>
  <w:style w:type="table" w:customStyle="1" w:styleId="Tablaconcuadrcula2-nfasis11">
    <w:name w:val="Tabla con cuadrícula 2 - Énfasis 11"/>
    <w:basedOn w:val="Tablanormal"/>
    <w:uiPriority w:val="47"/>
    <w:rsid w:val="001E079C"/>
    <w:rPr>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ncinsinresolver2">
    <w:name w:val="Mención sin resolver2"/>
    <w:uiPriority w:val="99"/>
    <w:semiHidden/>
    <w:unhideWhenUsed/>
    <w:rsid w:val="001E079C"/>
    <w:rPr>
      <w:color w:val="605E5C"/>
      <w:shd w:val="clear" w:color="auto" w:fill="E1DFDD"/>
    </w:rPr>
  </w:style>
  <w:style w:type="character" w:customStyle="1" w:styleId="Mencinsinresolver3">
    <w:name w:val="Mención sin resolver3"/>
    <w:uiPriority w:val="99"/>
    <w:semiHidden/>
    <w:unhideWhenUsed/>
    <w:rsid w:val="001E079C"/>
    <w:rPr>
      <w:color w:val="605E5C"/>
      <w:shd w:val="clear" w:color="auto" w:fill="E1DFDD"/>
    </w:rPr>
  </w:style>
  <w:style w:type="table" w:customStyle="1" w:styleId="Tablanormal2111">
    <w:name w:val="Tabla normal 2111"/>
    <w:basedOn w:val="Tablanormal"/>
    <w:uiPriority w:val="42"/>
    <w:rsid w:val="007024BE"/>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4">
    <w:name w:val="Tabla normal 24"/>
    <w:basedOn w:val="Tablanormal"/>
    <w:next w:val="Tablanormal2"/>
    <w:uiPriority w:val="42"/>
    <w:rsid w:val="007024BE"/>
    <w:pPr>
      <w:widowControl w:val="0"/>
      <w:autoSpaceDE w:val="0"/>
      <w:autoSpaceDN w:val="0"/>
    </w:pPr>
    <w:rPr>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14">
    <w:name w:val="Tabla normal 214"/>
    <w:basedOn w:val="Tablanormal"/>
    <w:uiPriority w:val="42"/>
    <w:rsid w:val="00751D46"/>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inlista5">
    <w:name w:val="Sin lista5"/>
    <w:next w:val="Sinlista"/>
    <w:uiPriority w:val="99"/>
    <w:semiHidden/>
    <w:unhideWhenUsed/>
    <w:rsid w:val="007459F3"/>
  </w:style>
  <w:style w:type="character" w:customStyle="1" w:styleId="Vietas">
    <w:name w:val="Viñetas"/>
    <w:qFormat/>
    <w:rsid w:val="007459F3"/>
    <w:rPr>
      <w:rFonts w:ascii="OpenSymbol" w:eastAsia="OpenSymbol" w:hAnsi="OpenSymbol" w:cs="OpenSymbol"/>
    </w:rPr>
  </w:style>
  <w:style w:type="character" w:customStyle="1" w:styleId="Smbolosdenumeracin">
    <w:name w:val="Símbolos de numeración"/>
    <w:qFormat/>
    <w:rsid w:val="007459F3"/>
  </w:style>
  <w:style w:type="character" w:customStyle="1" w:styleId="EnlacedeInternet">
    <w:name w:val="Enlace de Internet"/>
    <w:uiPriority w:val="99"/>
    <w:rsid w:val="007459F3"/>
    <w:rPr>
      <w:color w:val="000080"/>
      <w:u w:val="single"/>
    </w:rPr>
  </w:style>
  <w:style w:type="paragraph" w:styleId="Lista">
    <w:name w:val="List"/>
    <w:basedOn w:val="Textoindependiente"/>
    <w:rsid w:val="007459F3"/>
    <w:pPr>
      <w:suppressAutoHyphens/>
      <w:spacing w:after="140" w:line="276" w:lineRule="auto"/>
      <w:jc w:val="left"/>
    </w:pPr>
    <w:rPr>
      <w:rFonts w:ascii="Liberation Serif" w:eastAsia="SimSun" w:hAnsi="Liberation Serif" w:cs="Lohit Devanagari"/>
      <w:kern w:val="2"/>
      <w:lang w:val="es-VE" w:eastAsia="zh-CN" w:bidi="hi-IN"/>
    </w:rPr>
  </w:style>
  <w:style w:type="paragraph" w:styleId="Descripcin">
    <w:name w:val="caption"/>
    <w:basedOn w:val="Normal"/>
    <w:uiPriority w:val="35"/>
    <w:qFormat/>
    <w:rsid w:val="007459F3"/>
    <w:pPr>
      <w:suppressLineNumbers/>
      <w:suppressAutoHyphens/>
      <w:spacing w:before="120" w:after="120" w:line="240" w:lineRule="auto"/>
    </w:pPr>
    <w:rPr>
      <w:rFonts w:ascii="Liberation Serif" w:eastAsia="SimSun" w:hAnsi="Liberation Serif" w:cs="Lohit Devanagari"/>
      <w:i/>
      <w:iCs/>
      <w:kern w:val="2"/>
      <w:sz w:val="24"/>
      <w:szCs w:val="24"/>
      <w:lang w:val="es-VE" w:eastAsia="zh-CN" w:bidi="hi-IN"/>
    </w:rPr>
  </w:style>
  <w:style w:type="paragraph" w:customStyle="1" w:styleId="ndice">
    <w:name w:val="Índice"/>
    <w:basedOn w:val="Normal"/>
    <w:qFormat/>
    <w:rsid w:val="007459F3"/>
    <w:pPr>
      <w:suppressLineNumbers/>
      <w:suppressAutoHyphens/>
      <w:spacing w:after="0" w:line="240" w:lineRule="auto"/>
    </w:pPr>
    <w:rPr>
      <w:rFonts w:ascii="Liberation Serif" w:eastAsia="SimSun" w:hAnsi="Liberation Serif" w:cs="Lohit Devanagari"/>
      <w:kern w:val="2"/>
      <w:sz w:val="24"/>
      <w:szCs w:val="24"/>
      <w:lang w:val="es-VE" w:eastAsia="zh-CN" w:bidi="hi-IN"/>
    </w:rPr>
  </w:style>
  <w:style w:type="table" w:customStyle="1" w:styleId="Tablaconcuadrcula23">
    <w:name w:val="Tabla con cuadrícula23"/>
    <w:basedOn w:val="Tablanormal"/>
    <w:next w:val="Tablaconcuadrcula"/>
    <w:uiPriority w:val="59"/>
    <w:rsid w:val="007459F3"/>
    <w:pPr>
      <w:suppressAutoHyphens/>
    </w:pPr>
    <w:rPr>
      <w:rFonts w:ascii="Liberation Serif" w:eastAsia="SimSun" w:hAnsi="Liberation Serif" w:cs="Lohit Devanagari"/>
      <w:kern w:val="2"/>
      <w:szCs w:val="24"/>
      <w:lang w:val="es-VE"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exto">
    <w:name w:val="a-texto"/>
    <w:basedOn w:val="Normal"/>
    <w:qFormat/>
    <w:rsid w:val="007459F3"/>
    <w:pPr>
      <w:suppressAutoHyphens/>
      <w:overflowPunct w:val="0"/>
      <w:spacing w:before="280" w:after="280" w:line="240" w:lineRule="auto"/>
    </w:pPr>
    <w:rPr>
      <w:rFonts w:ascii="Times New Roman" w:eastAsia="Times New Roman" w:hAnsi="Times New Roman"/>
      <w:sz w:val="24"/>
      <w:szCs w:val="24"/>
      <w:lang w:val="es-MX" w:eastAsia="es-MX"/>
    </w:rPr>
  </w:style>
  <w:style w:type="character" w:customStyle="1" w:styleId="mw-editsection-bracket">
    <w:name w:val="mw-editsection-bracket"/>
    <w:rsid w:val="007459F3"/>
  </w:style>
  <w:style w:type="character" w:customStyle="1" w:styleId="jlqj4b">
    <w:name w:val="jlqj4b"/>
    <w:rsid w:val="007459F3"/>
  </w:style>
  <w:style w:type="character" w:customStyle="1" w:styleId="viiyi">
    <w:name w:val="viiyi"/>
    <w:rsid w:val="007459F3"/>
  </w:style>
  <w:style w:type="table" w:customStyle="1" w:styleId="Tablaconcuadrcula24">
    <w:name w:val="Tabla con cuadrícula24"/>
    <w:basedOn w:val="Tablanormal"/>
    <w:next w:val="Tablaconcuadrcula"/>
    <w:rsid w:val="00907C6E"/>
    <w:rPr>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647988"/>
  </w:style>
  <w:style w:type="paragraph" w:customStyle="1" w:styleId="msolistparagraph0">
    <w:name w:val="msolistparagraph"/>
    <w:basedOn w:val="Normal"/>
    <w:rsid w:val="00647988"/>
    <w:pPr>
      <w:spacing w:after="200" w:line="276" w:lineRule="auto"/>
      <w:ind w:left="720"/>
    </w:pPr>
    <w:rPr>
      <w:rFonts w:cs="Calibri"/>
      <w:lang w:val="es-ES"/>
    </w:rPr>
  </w:style>
  <w:style w:type="character" w:customStyle="1" w:styleId="cuerpoc">
    <w:name w:val="cuerpoc"/>
    <w:rsid w:val="00647988"/>
  </w:style>
  <w:style w:type="table" w:customStyle="1" w:styleId="Tablaconcuadrcula25">
    <w:name w:val="Tabla con cuadrícula25"/>
    <w:basedOn w:val="Tablanormal"/>
    <w:next w:val="Tablaconcuadrcula"/>
    <w:uiPriority w:val="39"/>
    <w:rsid w:val="00647988"/>
    <w:rPr>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5">
    <w:name w:val="Tabla normal 25"/>
    <w:basedOn w:val="Tablanormal"/>
    <w:next w:val="Tablanormal2"/>
    <w:uiPriority w:val="42"/>
    <w:rsid w:val="00647988"/>
    <w:rPr>
      <w:sz w:val="22"/>
      <w:szCs w:val="22"/>
      <w:lang w:val="es-PE"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26">
    <w:name w:val="Tabla con cuadrícula26"/>
    <w:basedOn w:val="Tablanormal"/>
    <w:next w:val="Tablaconcuadrcula"/>
    <w:uiPriority w:val="39"/>
    <w:rsid w:val="003746A0"/>
    <w:rPr>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5">
    <w:name w:val="Tabla de lista 6 con colores5"/>
    <w:basedOn w:val="Tablanormal"/>
    <w:next w:val="Tabladelista6concolores"/>
    <w:uiPriority w:val="51"/>
    <w:rsid w:val="00B81066"/>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7">
    <w:name w:val="Tabla con cuadrícula27"/>
    <w:basedOn w:val="Tablanormal"/>
    <w:next w:val="Tablaconcuadrcula"/>
    <w:uiPriority w:val="59"/>
    <w:rsid w:val="008F0C46"/>
    <w:rPr>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tablaAPA">
    <w:name w:val="Estilo tabla APA"/>
    <w:basedOn w:val="Tablanormal"/>
    <w:uiPriority w:val="99"/>
    <w:rsid w:val="006B5E14"/>
    <w:pPr>
      <w:spacing w:line="360" w:lineRule="auto"/>
    </w:pPr>
    <w:rPr>
      <w:rFonts w:ascii="Arial" w:hAnsi="Arial"/>
      <w:sz w:val="22"/>
      <w:szCs w:val="22"/>
      <w:lang w:val="es-PE" w:eastAsia="en-US"/>
    </w:rPr>
    <w:tblPr>
      <w:tblBorders>
        <w:top w:val="single" w:sz="4" w:space="0" w:color="auto"/>
        <w:bottom w:val="single" w:sz="4" w:space="0" w:color="auto"/>
      </w:tblBorders>
    </w:tblPr>
    <w:tcPr>
      <w:vAlign w:val="center"/>
    </w:tcPr>
    <w:tblStylePr w:type="firstRow">
      <w:tblPr/>
      <w:tcPr>
        <w:tcBorders>
          <w:top w:val="single" w:sz="4" w:space="0" w:color="auto"/>
          <w:bottom w:val="single" w:sz="4" w:space="0" w:color="auto"/>
        </w:tcBorders>
      </w:tcPr>
    </w:tblStylePr>
    <w:tblStylePr w:type="lastRow">
      <w:tblPr/>
      <w:tcPr>
        <w:tcBorders>
          <w:top w:val="single" w:sz="4" w:space="0" w:color="auto"/>
        </w:tcBorders>
      </w:tcPr>
    </w:tblStylePr>
  </w:style>
  <w:style w:type="table" w:customStyle="1" w:styleId="Sombreadoclaro2">
    <w:name w:val="Sombreado claro2"/>
    <w:basedOn w:val="Tablanormal"/>
    <w:next w:val="Sombreadoclaro"/>
    <w:uiPriority w:val="60"/>
    <w:rsid w:val="006B5E14"/>
    <w:pPr>
      <w:ind w:firstLine="720"/>
    </w:pPr>
    <w:rPr>
      <w:color w:val="000000"/>
      <w:sz w:val="22"/>
      <w:szCs w:val="22"/>
      <w:lang w:val="es-VE"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normal215">
    <w:name w:val="Tabla normal 215"/>
    <w:basedOn w:val="Tablanormal"/>
    <w:uiPriority w:val="42"/>
    <w:rsid w:val="008F4874"/>
    <w:rPr>
      <w:sz w:val="22"/>
      <w:szCs w:val="22"/>
      <w:lang w:val="es-E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inlista7">
    <w:name w:val="Sin lista7"/>
    <w:next w:val="Sinlista"/>
    <w:uiPriority w:val="99"/>
    <w:semiHidden/>
    <w:unhideWhenUsed/>
    <w:rsid w:val="00C93CC0"/>
  </w:style>
  <w:style w:type="table" w:customStyle="1" w:styleId="TableNormal3">
    <w:name w:val="Table Normal3"/>
    <w:uiPriority w:val="2"/>
    <w:semiHidden/>
    <w:unhideWhenUsed/>
    <w:qFormat/>
    <w:rsid w:val="00C93CC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3CC0"/>
    <w:pPr>
      <w:widowControl w:val="0"/>
      <w:autoSpaceDE w:val="0"/>
      <w:autoSpaceDN w:val="0"/>
      <w:spacing w:after="0" w:line="240" w:lineRule="auto"/>
    </w:pPr>
    <w:rPr>
      <w:rFonts w:ascii="Times New Roman" w:eastAsia="Times New Roman" w:hAnsi="Times New Roman"/>
      <w:lang w:eastAsia="es-EC" w:bidi="es-EC"/>
    </w:rPr>
  </w:style>
  <w:style w:type="table" w:customStyle="1" w:styleId="Tablanormal26">
    <w:name w:val="Tabla normal 26"/>
    <w:basedOn w:val="Tablanormal"/>
    <w:next w:val="Tablanormal2"/>
    <w:uiPriority w:val="42"/>
    <w:rsid w:val="00C93CC0"/>
    <w:rPr>
      <w:sz w:val="22"/>
      <w:szCs w:val="22"/>
      <w:lang w:val="es-E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41">
    <w:name w:val="Tabla normal 41"/>
    <w:basedOn w:val="Tablanormal"/>
    <w:next w:val="Tablanormal4"/>
    <w:uiPriority w:val="44"/>
    <w:rsid w:val="00C93CC0"/>
    <w:pPr>
      <w:jc w:val="right"/>
    </w:pPr>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8">
    <w:name w:val="Tabla con cuadrícula28"/>
    <w:basedOn w:val="Tablanormal"/>
    <w:next w:val="Tablaconcuadrcula"/>
    <w:uiPriority w:val="39"/>
    <w:rsid w:val="00C93C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3865222849orc-font-body-large">
    <w:name w:val="yiv3865222849orc-font-body-large"/>
    <w:rsid w:val="00C93CC0"/>
  </w:style>
  <w:style w:type="table" w:customStyle="1" w:styleId="Tablaconcuadrcula29">
    <w:name w:val="Tabla con cuadrícula29"/>
    <w:basedOn w:val="Tablanormal"/>
    <w:next w:val="Tablaconcuadrcula"/>
    <w:uiPriority w:val="39"/>
    <w:rsid w:val="005212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13042"/>
    <w:rPr>
      <w:rFonts w:eastAsia="Times New Roman"/>
      <w:sz w:val="22"/>
      <w:szCs w:val="22"/>
    </w:rPr>
    <w:tblPr>
      <w:tblCellMar>
        <w:top w:w="0" w:type="dxa"/>
        <w:left w:w="0" w:type="dxa"/>
        <w:bottom w:w="0" w:type="dxa"/>
        <w:right w:w="0" w:type="dxa"/>
      </w:tblCellMar>
    </w:tblPr>
  </w:style>
  <w:style w:type="numbering" w:customStyle="1" w:styleId="Sinlista8">
    <w:name w:val="Sin lista8"/>
    <w:next w:val="Sinlista"/>
    <w:uiPriority w:val="99"/>
    <w:semiHidden/>
    <w:unhideWhenUsed/>
    <w:rsid w:val="000A6051"/>
  </w:style>
  <w:style w:type="table" w:customStyle="1" w:styleId="Tablaconcuadrcula30">
    <w:name w:val="Tabla con cuadrícula30"/>
    <w:basedOn w:val="Tablanormal"/>
    <w:next w:val="Tablaconcuadrcula"/>
    <w:uiPriority w:val="39"/>
    <w:rsid w:val="000A605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1">
    <w:name w:val="Tab1"/>
    <w:basedOn w:val="Ttulo1"/>
    <w:link w:val="Tab1Car"/>
    <w:qFormat/>
    <w:rsid w:val="000A6051"/>
    <w:pPr>
      <w:numPr>
        <w:numId w:val="0"/>
      </w:numPr>
      <w:jc w:val="left"/>
    </w:pPr>
    <w:rPr>
      <w:rFonts w:ascii="Times New Roman" w:hAnsi="Times New Roman"/>
      <w:bCs/>
      <w:color w:val="2E74B5"/>
      <w:sz w:val="18"/>
      <w:szCs w:val="18"/>
      <w:lang w:val="es-ES_tradnl"/>
    </w:rPr>
  </w:style>
  <w:style w:type="character" w:customStyle="1" w:styleId="Tab1Car">
    <w:name w:val="Tab1 Car"/>
    <w:link w:val="Tab1"/>
    <w:rsid w:val="000A6051"/>
    <w:rPr>
      <w:rFonts w:ascii="Times New Roman" w:eastAsia="Times New Roman" w:hAnsi="Times New Roman"/>
      <w:b/>
      <w:bCs/>
      <w:color w:val="2E74B5"/>
      <w:sz w:val="18"/>
      <w:szCs w:val="18"/>
      <w:lang w:val="es-ES_tradnl" w:eastAsia="es-ES"/>
    </w:rPr>
  </w:style>
  <w:style w:type="paragraph" w:customStyle="1" w:styleId="fig1">
    <w:name w:val="fig1"/>
    <w:basedOn w:val="Normal"/>
    <w:link w:val="fig1Car"/>
    <w:qFormat/>
    <w:rsid w:val="000A6051"/>
    <w:pPr>
      <w:spacing w:after="0" w:line="360" w:lineRule="auto"/>
      <w:ind w:left="360"/>
      <w:jc w:val="center"/>
    </w:pPr>
    <w:rPr>
      <w:rFonts w:ascii="Times New Roman" w:eastAsia="Times New Roman" w:hAnsi="Times New Roman"/>
      <w:lang w:val="es-ES_tradnl" w:eastAsia="es-ES"/>
    </w:rPr>
  </w:style>
  <w:style w:type="character" w:customStyle="1" w:styleId="fig1Car">
    <w:name w:val="fig1 Car"/>
    <w:link w:val="fig1"/>
    <w:rsid w:val="000A6051"/>
    <w:rPr>
      <w:rFonts w:ascii="Times New Roman" w:eastAsia="Times New Roman" w:hAnsi="Times New Roman"/>
      <w:sz w:val="22"/>
      <w:szCs w:val="22"/>
      <w:lang w:val="es-ES_tradnl" w:eastAsia="es-ES"/>
    </w:rPr>
  </w:style>
  <w:style w:type="table" w:customStyle="1" w:styleId="Tabladecuadrcula4-nfasis51">
    <w:name w:val="Tabla de cuadrícula 4 - Énfasis 51"/>
    <w:basedOn w:val="Tablanormal"/>
    <w:uiPriority w:val="49"/>
    <w:rsid w:val="000A6051"/>
    <w:rPr>
      <w:sz w:val="22"/>
      <w:szCs w:val="22"/>
      <w:lang w:val="en-U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Textodelmarcadordeposicin">
    <w:name w:val="Placeholder Text"/>
    <w:uiPriority w:val="99"/>
    <w:semiHidden/>
    <w:qFormat/>
    <w:rsid w:val="000A6051"/>
    <w:rPr>
      <w:color w:val="808080"/>
    </w:rPr>
  </w:style>
  <w:style w:type="paragraph" w:customStyle="1" w:styleId="FuenteyRealizado">
    <w:name w:val="Fuente y Realizado"/>
    <w:basedOn w:val="Descripcin"/>
    <w:link w:val="FuenteyRealizadoCar"/>
    <w:qFormat/>
    <w:rsid w:val="000A6051"/>
    <w:pPr>
      <w:suppressLineNumbers w:val="0"/>
      <w:suppressAutoHyphens w:val="0"/>
      <w:spacing w:before="0" w:after="0" w:line="360" w:lineRule="auto"/>
      <w:mirrorIndents/>
    </w:pPr>
    <w:rPr>
      <w:rFonts w:ascii="Times New Roman" w:eastAsia="Calibri" w:hAnsi="Times New Roman" w:cs="Times New Roman"/>
      <w:i w:val="0"/>
      <w:kern w:val="0"/>
      <w:sz w:val="16"/>
      <w:szCs w:val="18"/>
      <w:lang w:val="es-ES" w:eastAsia="en-US" w:bidi="ar-SA"/>
    </w:rPr>
  </w:style>
  <w:style w:type="character" w:customStyle="1" w:styleId="FuenteyRealizadoCar">
    <w:name w:val="Fuente y Realizado Car"/>
    <w:link w:val="FuenteyRealizado"/>
    <w:rsid w:val="000A6051"/>
    <w:rPr>
      <w:rFonts w:ascii="Times New Roman" w:hAnsi="Times New Roman"/>
      <w:iCs/>
      <w:sz w:val="16"/>
      <w:szCs w:val="18"/>
      <w:lang w:val="es-ES" w:eastAsia="en-US"/>
    </w:rPr>
  </w:style>
  <w:style w:type="paragraph" w:customStyle="1" w:styleId="TDC41">
    <w:name w:val="TDC 41"/>
    <w:basedOn w:val="Normal"/>
    <w:next w:val="Normal"/>
    <w:autoRedefine/>
    <w:uiPriority w:val="39"/>
    <w:unhideWhenUsed/>
    <w:rsid w:val="000A6051"/>
    <w:pPr>
      <w:spacing w:after="100" w:line="360" w:lineRule="auto"/>
      <w:ind w:left="660"/>
    </w:pPr>
    <w:rPr>
      <w:rFonts w:eastAsia="Times New Roman"/>
      <w:lang w:val="en-US"/>
    </w:rPr>
  </w:style>
  <w:style w:type="paragraph" w:customStyle="1" w:styleId="TDC51">
    <w:name w:val="TDC 51"/>
    <w:basedOn w:val="Normal"/>
    <w:next w:val="Normal"/>
    <w:autoRedefine/>
    <w:uiPriority w:val="39"/>
    <w:unhideWhenUsed/>
    <w:rsid w:val="000A6051"/>
    <w:pPr>
      <w:spacing w:after="100" w:line="360" w:lineRule="auto"/>
      <w:ind w:left="880"/>
    </w:pPr>
    <w:rPr>
      <w:rFonts w:eastAsia="Times New Roman"/>
      <w:lang w:val="en-US"/>
    </w:rPr>
  </w:style>
  <w:style w:type="paragraph" w:customStyle="1" w:styleId="TDC61">
    <w:name w:val="TDC 61"/>
    <w:basedOn w:val="Normal"/>
    <w:next w:val="Normal"/>
    <w:autoRedefine/>
    <w:uiPriority w:val="39"/>
    <w:unhideWhenUsed/>
    <w:rsid w:val="000A6051"/>
    <w:pPr>
      <w:spacing w:after="100" w:line="360" w:lineRule="auto"/>
      <w:ind w:left="1100"/>
    </w:pPr>
    <w:rPr>
      <w:rFonts w:eastAsia="Times New Roman"/>
      <w:lang w:val="en-US"/>
    </w:rPr>
  </w:style>
  <w:style w:type="paragraph" w:customStyle="1" w:styleId="TDC71">
    <w:name w:val="TDC 71"/>
    <w:basedOn w:val="Normal"/>
    <w:next w:val="Normal"/>
    <w:autoRedefine/>
    <w:uiPriority w:val="39"/>
    <w:unhideWhenUsed/>
    <w:rsid w:val="000A6051"/>
    <w:pPr>
      <w:spacing w:after="100" w:line="360" w:lineRule="auto"/>
      <w:ind w:left="1320"/>
    </w:pPr>
    <w:rPr>
      <w:rFonts w:eastAsia="Times New Roman"/>
      <w:lang w:val="en-US"/>
    </w:rPr>
  </w:style>
  <w:style w:type="paragraph" w:customStyle="1" w:styleId="TDC81">
    <w:name w:val="TDC 81"/>
    <w:basedOn w:val="Normal"/>
    <w:next w:val="Normal"/>
    <w:autoRedefine/>
    <w:uiPriority w:val="39"/>
    <w:unhideWhenUsed/>
    <w:rsid w:val="000A6051"/>
    <w:pPr>
      <w:spacing w:after="100" w:line="360" w:lineRule="auto"/>
      <w:ind w:left="1540"/>
    </w:pPr>
    <w:rPr>
      <w:rFonts w:eastAsia="Times New Roman"/>
      <w:lang w:val="en-US"/>
    </w:rPr>
  </w:style>
  <w:style w:type="paragraph" w:customStyle="1" w:styleId="TDC91">
    <w:name w:val="TDC 91"/>
    <w:basedOn w:val="Normal"/>
    <w:next w:val="Normal"/>
    <w:autoRedefine/>
    <w:uiPriority w:val="39"/>
    <w:unhideWhenUsed/>
    <w:rsid w:val="000A6051"/>
    <w:pPr>
      <w:spacing w:after="100" w:line="360" w:lineRule="auto"/>
      <w:ind w:left="1760"/>
    </w:pPr>
    <w:rPr>
      <w:rFonts w:eastAsia="Times New Roman"/>
      <w:lang w:val="en-US"/>
    </w:rPr>
  </w:style>
  <w:style w:type="paragraph" w:customStyle="1" w:styleId="graf">
    <w:name w:val="graf"/>
    <w:basedOn w:val="Normal"/>
    <w:link w:val="grafCar"/>
    <w:qFormat/>
    <w:rsid w:val="000A6051"/>
    <w:pPr>
      <w:spacing w:after="0" w:line="360" w:lineRule="auto"/>
      <w:jc w:val="center"/>
    </w:pPr>
    <w:rPr>
      <w:rFonts w:ascii="Times New Roman" w:eastAsia="Times New Roman" w:hAnsi="Times New Roman"/>
      <w:b/>
      <w:lang w:val="es-ES" w:eastAsia="es-ES"/>
    </w:rPr>
  </w:style>
  <w:style w:type="paragraph" w:customStyle="1" w:styleId="Anex">
    <w:name w:val="Anex"/>
    <w:basedOn w:val="Normal"/>
    <w:link w:val="AnexCar"/>
    <w:qFormat/>
    <w:rsid w:val="000A6051"/>
    <w:pPr>
      <w:spacing w:after="0" w:line="360" w:lineRule="auto"/>
    </w:pPr>
    <w:rPr>
      <w:rFonts w:ascii="Times New Roman" w:hAnsi="Times New Roman"/>
      <w:b/>
      <w:lang w:val="es-ES"/>
    </w:rPr>
  </w:style>
  <w:style w:type="character" w:customStyle="1" w:styleId="grafCar">
    <w:name w:val="graf Car"/>
    <w:link w:val="graf"/>
    <w:rsid w:val="000A6051"/>
    <w:rPr>
      <w:rFonts w:ascii="Times New Roman" w:eastAsia="Times New Roman" w:hAnsi="Times New Roman"/>
      <w:b/>
      <w:sz w:val="22"/>
      <w:szCs w:val="22"/>
      <w:lang w:val="es-ES" w:eastAsia="es-ES"/>
    </w:rPr>
  </w:style>
  <w:style w:type="character" w:customStyle="1" w:styleId="AnexCar">
    <w:name w:val="Anex Car"/>
    <w:link w:val="Anex"/>
    <w:rsid w:val="000A6051"/>
    <w:rPr>
      <w:rFonts w:ascii="Times New Roman" w:hAnsi="Times New Roman"/>
      <w:b/>
      <w:sz w:val="22"/>
      <w:szCs w:val="22"/>
      <w:lang w:val="es-ES" w:eastAsia="en-US"/>
    </w:rPr>
  </w:style>
  <w:style w:type="table" w:customStyle="1" w:styleId="Tablanormal216">
    <w:name w:val="Tabla normal 216"/>
    <w:basedOn w:val="Tablanormal"/>
    <w:uiPriority w:val="42"/>
    <w:rsid w:val="000A6051"/>
    <w:rPr>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abel">
    <w:name w:val="label"/>
    <w:rsid w:val="000A6051"/>
  </w:style>
  <w:style w:type="table" w:customStyle="1" w:styleId="Tablanormal42">
    <w:name w:val="Tabla normal 42"/>
    <w:basedOn w:val="Tablanormal"/>
    <w:next w:val="Tablanormal4"/>
    <w:uiPriority w:val="44"/>
    <w:rsid w:val="002258C4"/>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9">
    <w:name w:val="Sin lista9"/>
    <w:next w:val="Sinlista"/>
    <w:uiPriority w:val="99"/>
    <w:semiHidden/>
    <w:unhideWhenUsed/>
    <w:rsid w:val="00A244BF"/>
  </w:style>
  <w:style w:type="table" w:customStyle="1" w:styleId="TableNormal4">
    <w:name w:val="Table Normal4"/>
    <w:rsid w:val="00A244BF"/>
    <w:pPr>
      <w:spacing w:after="200" w:line="276" w:lineRule="auto"/>
    </w:pPr>
    <w:rPr>
      <w:rFonts w:ascii="Arial" w:eastAsia="Arial" w:hAnsi="Arial" w:cs="Arial"/>
      <w:sz w:val="24"/>
      <w:szCs w:val="24"/>
    </w:rPr>
    <w:tblPr>
      <w:tblCellMar>
        <w:top w:w="0" w:type="dxa"/>
        <w:left w:w="0" w:type="dxa"/>
        <w:bottom w:w="0" w:type="dxa"/>
        <w:right w:w="0" w:type="dxa"/>
      </w:tblCellMar>
    </w:tblPr>
  </w:style>
  <w:style w:type="table" w:customStyle="1" w:styleId="Sombreadoclaro-nfasis12">
    <w:name w:val="Sombreado claro - Énfasis 12"/>
    <w:basedOn w:val="Tablanormal"/>
    <w:next w:val="Sombreadoclaro-nfasis1"/>
    <w:uiPriority w:val="60"/>
    <w:rsid w:val="00A244BF"/>
    <w:rPr>
      <w:rFonts w:ascii="Arial" w:eastAsia="Arial" w:hAnsi="Arial" w:cs="Arial"/>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3">
    <w:name w:val="Sombreado claro3"/>
    <w:basedOn w:val="Tablanormal"/>
    <w:next w:val="Sombreadoclaro"/>
    <w:uiPriority w:val="60"/>
    <w:rsid w:val="00A244BF"/>
    <w:rPr>
      <w:rFonts w:ascii="Arial" w:eastAsia="Arial" w:hAnsi="Arial" w:cs="Arial"/>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34">
    <w:name w:val="Sombreado claro - Énfasis 34"/>
    <w:basedOn w:val="Tablanormal"/>
    <w:next w:val="Sombreadoclaro-nfasis3"/>
    <w:uiPriority w:val="60"/>
    <w:rsid w:val="00A244BF"/>
    <w:rPr>
      <w:rFonts w:ascii="Arial" w:eastAsia="Arial" w:hAnsi="Arial" w:cs="Arial"/>
      <w:color w:val="76923C"/>
      <w:sz w:val="24"/>
      <w:szCs w:val="24"/>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media1-nfasis32">
    <w:name w:val="Lista media 1 - Énfasis 32"/>
    <w:basedOn w:val="Tablanormal"/>
    <w:next w:val="Listamedia1-nfasis3"/>
    <w:uiPriority w:val="65"/>
    <w:rsid w:val="00A244BF"/>
    <w:rPr>
      <w:rFonts w:ascii="Arial" w:eastAsia="Arial" w:hAnsi="Arial" w:cs="Arial"/>
      <w:color w:val="000000"/>
      <w:sz w:val="24"/>
      <w:szCs w:val="24"/>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anormal217">
    <w:name w:val="Tabla normal 217"/>
    <w:basedOn w:val="Tablanormal"/>
    <w:uiPriority w:val="42"/>
    <w:rsid w:val="00A244BF"/>
    <w:rPr>
      <w:rFonts w:ascii="Arial" w:eastAsia="Arial" w:hAnsi="Arial" w:cs="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31">
    <w:name w:val="Tabla con cuadrícula31"/>
    <w:basedOn w:val="Tablanormal"/>
    <w:next w:val="Tablaconcuadrcula"/>
    <w:uiPriority w:val="39"/>
    <w:rsid w:val="00A244B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22">
    <w:name w:val="Tabla normal 222"/>
    <w:basedOn w:val="Tablanormal"/>
    <w:uiPriority w:val="42"/>
    <w:rsid w:val="00A244BF"/>
    <w:rPr>
      <w:rFonts w:ascii="Arial" w:eastAsia="Arial" w:hAnsi="Arial" w:cs="Arial"/>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concuadrculaclara">
    <w:name w:val="Grid Table Light"/>
    <w:basedOn w:val="Tablanormal"/>
    <w:uiPriority w:val="40"/>
    <w:rsid w:val="00D3598D"/>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2">
    <w:name w:val="Tabla con cuadrícula32"/>
    <w:basedOn w:val="Tablanormal"/>
    <w:next w:val="Tablaconcuadrcula"/>
    <w:uiPriority w:val="39"/>
    <w:rsid w:val="00D359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89588B"/>
  </w:style>
  <w:style w:type="character" w:customStyle="1" w:styleId="highlight">
    <w:name w:val="highlight"/>
    <w:rsid w:val="0089588B"/>
  </w:style>
  <w:style w:type="character" w:customStyle="1" w:styleId="reference-text">
    <w:name w:val="reference-text"/>
    <w:rsid w:val="0089588B"/>
  </w:style>
  <w:style w:type="character" w:customStyle="1" w:styleId="citation">
    <w:name w:val="citation"/>
    <w:rsid w:val="0089588B"/>
  </w:style>
  <w:style w:type="character" w:customStyle="1" w:styleId="cite-accessibility-label">
    <w:name w:val="cite-accessibility-label"/>
    <w:rsid w:val="0089588B"/>
  </w:style>
  <w:style w:type="table" w:customStyle="1" w:styleId="Tablaconcuadrcula33">
    <w:name w:val="Tabla con cuadrícula33"/>
    <w:basedOn w:val="Tablanormal"/>
    <w:next w:val="Tablaconcuadrcula"/>
    <w:uiPriority w:val="59"/>
    <w:rsid w:val="0089588B"/>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89588B"/>
    <w:pPr>
      <w:spacing w:after="0" w:line="240" w:lineRule="auto"/>
      <w:ind w:firstLine="709"/>
      <w:jc w:val="both"/>
    </w:pPr>
    <w:rPr>
      <w:rFonts w:ascii="Courier New" w:hAnsi="Courier New" w:cs="Courier New"/>
      <w:sz w:val="20"/>
      <w:szCs w:val="20"/>
      <w:lang w:val="es-VE"/>
    </w:rPr>
  </w:style>
  <w:style w:type="character" w:customStyle="1" w:styleId="TextosinformatoCar">
    <w:name w:val="Texto sin formato Car"/>
    <w:link w:val="Textosinformato"/>
    <w:rsid w:val="0089588B"/>
    <w:rPr>
      <w:rFonts w:ascii="Courier New" w:hAnsi="Courier New" w:cs="Courier New"/>
      <w:lang w:val="es-VE" w:eastAsia="en-US"/>
    </w:rPr>
  </w:style>
  <w:style w:type="numbering" w:customStyle="1" w:styleId="Sinlista11">
    <w:name w:val="Sin lista11"/>
    <w:next w:val="Sinlista"/>
    <w:uiPriority w:val="99"/>
    <w:semiHidden/>
    <w:unhideWhenUsed/>
    <w:rsid w:val="008304DE"/>
  </w:style>
  <w:style w:type="table" w:customStyle="1" w:styleId="Tablaconcuadrcula34">
    <w:name w:val="Tabla con cuadrícula34"/>
    <w:basedOn w:val="Tablanormal"/>
    <w:next w:val="Tablaconcuadrcula"/>
    <w:uiPriority w:val="39"/>
    <w:rsid w:val="008304DE"/>
    <w:rPr>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177B5"/>
  </w:style>
  <w:style w:type="table" w:customStyle="1" w:styleId="Tablanormal27">
    <w:name w:val="Tabla normal 27"/>
    <w:basedOn w:val="Tablanormal"/>
    <w:next w:val="Tablanormal2"/>
    <w:uiPriority w:val="42"/>
    <w:rsid w:val="003765B5"/>
    <w:rPr>
      <w:rFonts w:cs="Calibri"/>
      <w:sz w:val="22"/>
      <w:szCs w:val="22"/>
      <w:lang w:val="es-SV"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8">
    <w:name w:val="Tabla normal 28"/>
    <w:basedOn w:val="Tablanormal"/>
    <w:next w:val="Tablanormal2"/>
    <w:uiPriority w:val="42"/>
    <w:rsid w:val="003765B5"/>
    <w:rPr>
      <w:rFonts w:cs="Calibri"/>
      <w:sz w:val="22"/>
      <w:szCs w:val="22"/>
      <w:lang w:val="es-SV"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35">
    <w:name w:val="Tabla con cuadrícula35"/>
    <w:basedOn w:val="Tablanormal"/>
    <w:next w:val="Tablaconcuadrcula"/>
    <w:uiPriority w:val="39"/>
    <w:rsid w:val="00E419F1"/>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9">
    <w:name w:val="Tabla normal 29"/>
    <w:basedOn w:val="Tablanormal"/>
    <w:next w:val="Tablanormal2"/>
    <w:uiPriority w:val="42"/>
    <w:rsid w:val="001D3130"/>
    <w:rPr>
      <w:rFonts w:cs="Calibri"/>
      <w:sz w:val="22"/>
      <w:szCs w:val="22"/>
      <w:lang w:val="es-SV"/>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10">
    <w:name w:val="Tabla normal 210"/>
    <w:basedOn w:val="Tablanormal"/>
    <w:next w:val="Tablanormal2"/>
    <w:uiPriority w:val="42"/>
    <w:rsid w:val="001D3130"/>
    <w:rPr>
      <w:rFonts w:cs="Calibri"/>
      <w:sz w:val="22"/>
      <w:szCs w:val="22"/>
      <w:lang w:val="es-SV"/>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18">
    <w:name w:val="Tabla normal 218"/>
    <w:basedOn w:val="Tablanormal"/>
    <w:next w:val="Tablanormal2"/>
    <w:uiPriority w:val="42"/>
    <w:rsid w:val="001D3130"/>
    <w:rPr>
      <w:rFonts w:cs="Calibri"/>
      <w:sz w:val="22"/>
      <w:szCs w:val="22"/>
      <w:lang w:val="es-SV"/>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36">
    <w:name w:val="Tabla con cuadrícula36"/>
    <w:basedOn w:val="Tablanormal"/>
    <w:next w:val="Tablaconcuadrcula"/>
    <w:uiPriority w:val="39"/>
    <w:rsid w:val="00B95D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92201A"/>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98084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134BA"/>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9">
    <w:name w:val="Tabla normal 219"/>
    <w:basedOn w:val="Tablanormal"/>
    <w:uiPriority w:val="42"/>
    <w:rsid w:val="00E37FFC"/>
    <w:pPr>
      <w:widowControl w:val="0"/>
      <w:autoSpaceDE w:val="0"/>
      <w:autoSpaceDN w:val="0"/>
    </w:pPr>
    <w:rPr>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0">
    <w:name w:val="Tabla con cuadrícula40"/>
    <w:basedOn w:val="Tablanormal"/>
    <w:next w:val="Tablaconcuadrcula"/>
    <w:uiPriority w:val="39"/>
    <w:rsid w:val="001425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45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
    <w:name w:val="Tabla de cuadrícula 4 - Énfasis 61"/>
    <w:basedOn w:val="Tablanormal"/>
    <w:next w:val="Tablaconcuadrcula4-nfasis6"/>
    <w:uiPriority w:val="49"/>
    <w:rsid w:val="00637ACC"/>
    <w:rPr>
      <w:sz w:val="22"/>
      <w:szCs w:val="22"/>
      <w:lang w:val="en-US"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concuadrcula4-nfasis6">
    <w:name w:val="Grid Table 4 Accent 6"/>
    <w:basedOn w:val="Tablanormal"/>
    <w:uiPriority w:val="49"/>
    <w:rsid w:val="00637ACC"/>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62">
    <w:name w:val="Tabla de cuadrícula 4 - Énfasis 62"/>
    <w:basedOn w:val="Tablanormal"/>
    <w:next w:val="Tablaconcuadrcula4-nfasis6"/>
    <w:uiPriority w:val="49"/>
    <w:rsid w:val="002541F7"/>
    <w:rPr>
      <w:sz w:val="22"/>
      <w:szCs w:val="22"/>
      <w:lang w:val="en-US"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13">
    <w:name w:val="Sin lista13"/>
    <w:next w:val="Sinlista"/>
    <w:uiPriority w:val="99"/>
    <w:semiHidden/>
    <w:unhideWhenUsed/>
    <w:rsid w:val="002610ED"/>
  </w:style>
  <w:style w:type="paragraph" w:styleId="Textonotaalfinal">
    <w:name w:val="endnote text"/>
    <w:basedOn w:val="Normal"/>
    <w:link w:val="TextonotaalfinalCar"/>
    <w:uiPriority w:val="99"/>
    <w:semiHidden/>
    <w:unhideWhenUsed/>
    <w:rsid w:val="002610ED"/>
    <w:pPr>
      <w:spacing w:after="0" w:line="240" w:lineRule="auto"/>
    </w:pPr>
    <w:rPr>
      <w:sz w:val="20"/>
      <w:szCs w:val="20"/>
    </w:rPr>
  </w:style>
  <w:style w:type="character" w:customStyle="1" w:styleId="TextonotaalfinalCar">
    <w:name w:val="Texto nota al final Car"/>
    <w:link w:val="Textonotaalfinal"/>
    <w:uiPriority w:val="99"/>
    <w:semiHidden/>
    <w:rsid w:val="002610ED"/>
    <w:rPr>
      <w:lang w:eastAsia="en-US"/>
    </w:rPr>
  </w:style>
  <w:style w:type="character" w:styleId="Refdenotaalfinal">
    <w:name w:val="endnote reference"/>
    <w:uiPriority w:val="99"/>
    <w:semiHidden/>
    <w:unhideWhenUsed/>
    <w:rsid w:val="002610ED"/>
    <w:rPr>
      <w:vertAlign w:val="superscript"/>
    </w:rPr>
  </w:style>
  <w:style w:type="paragraph" w:customStyle="1" w:styleId="DecimalAligned">
    <w:name w:val="Decimal Aligned"/>
    <w:basedOn w:val="Normal"/>
    <w:uiPriority w:val="40"/>
    <w:qFormat/>
    <w:rsid w:val="002610ED"/>
    <w:pPr>
      <w:tabs>
        <w:tab w:val="decimal" w:pos="360"/>
      </w:tabs>
      <w:spacing w:after="200" w:line="276" w:lineRule="auto"/>
    </w:pPr>
    <w:rPr>
      <w:rFonts w:eastAsia="Times New Roman"/>
      <w:lang w:eastAsia="es-EC"/>
    </w:rPr>
  </w:style>
  <w:style w:type="character" w:styleId="nfasissutil">
    <w:name w:val="Subtle Emphasis"/>
    <w:uiPriority w:val="19"/>
    <w:qFormat/>
    <w:rsid w:val="002610ED"/>
    <w:rPr>
      <w:i/>
      <w:iCs/>
    </w:rPr>
  </w:style>
  <w:style w:type="table" w:customStyle="1" w:styleId="Sombreadoclaro-nfasis13">
    <w:name w:val="Sombreado claro - Énfasis 13"/>
    <w:basedOn w:val="Tablanormal"/>
    <w:next w:val="Sombreadoclaro-nfasis1"/>
    <w:uiPriority w:val="60"/>
    <w:rsid w:val="002610ED"/>
    <w:rPr>
      <w:rFonts w:eastAsia="Times New Roman"/>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nfasis11">
    <w:name w:val="Lista media 2 - Énfasis 11"/>
    <w:basedOn w:val="Tablanormal"/>
    <w:next w:val="Listamedia2-nfasis1"/>
    <w:uiPriority w:val="66"/>
    <w:rsid w:val="002610ED"/>
    <w:rPr>
      <w:rFonts w:ascii="Calibri Light" w:eastAsia="Times New Roman"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Sombreadomedio2-nfasis51">
    <w:name w:val="Sombreado medio 2 - Énfasis 51"/>
    <w:basedOn w:val="Tablanormal"/>
    <w:next w:val="Sombreadomedio2-nfasis5"/>
    <w:uiPriority w:val="64"/>
    <w:rsid w:val="002610ED"/>
    <w:rPr>
      <w:rFonts w:eastAsia="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estilo1Apa7">
    <w:name w:val="estilo 1 Apa 7"/>
    <w:basedOn w:val="Tablanormal"/>
    <w:uiPriority w:val="99"/>
    <w:rsid w:val="002610ED"/>
    <w:pPr>
      <w:spacing w:line="480" w:lineRule="auto"/>
    </w:pPr>
    <w:rPr>
      <w:rFonts w:ascii="Times New Roman" w:hAnsi="Times New Roman"/>
      <w:sz w:val="24"/>
      <w:szCs w:val="22"/>
      <w:lang w:eastAsia="en-US"/>
    </w:rPr>
    <w:tblPr>
      <w:tblBorders>
        <w:top w:val="single" w:sz="4" w:space="0" w:color="auto"/>
        <w:bottom w:val="single" w:sz="4" w:space="0" w:color="auto"/>
      </w:tblBorders>
    </w:tblPr>
    <w:tcPr>
      <w:vAlign w:val="center"/>
    </w:tcPr>
    <w:tblStylePr w:type="firstRow">
      <w:pPr>
        <w:wordWrap/>
        <w:spacing w:line="480" w:lineRule="auto"/>
        <w:jc w:val="left"/>
      </w:pPr>
      <w:rPr>
        <w:rFonts w:ascii="Times New Roman" w:hAnsi="Times New Roman"/>
        <w:sz w:val="24"/>
      </w:rPr>
      <w:tblPr/>
      <w:tcPr>
        <w:tcBorders>
          <w:bottom w:val="single" w:sz="4" w:space="0" w:color="auto"/>
        </w:tcBorders>
      </w:tcPr>
    </w:tblStylePr>
  </w:style>
  <w:style w:type="character" w:customStyle="1" w:styleId="Hipervnculovisitado1">
    <w:name w:val="Hipervínculo visitado1"/>
    <w:uiPriority w:val="99"/>
    <w:semiHidden/>
    <w:unhideWhenUsed/>
    <w:rsid w:val="002610ED"/>
    <w:rPr>
      <w:color w:val="954F72"/>
      <w:u w:val="single"/>
    </w:rPr>
  </w:style>
  <w:style w:type="table" w:styleId="Listamedia2-nfasis1">
    <w:name w:val="Medium List 2 Accent 1"/>
    <w:basedOn w:val="Tablanormal"/>
    <w:uiPriority w:val="66"/>
    <w:semiHidden/>
    <w:unhideWhenUsed/>
    <w:rsid w:val="002610ED"/>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Sombreadomedio2-nfasis5">
    <w:name w:val="Medium Shading 2 Accent 5"/>
    <w:basedOn w:val="Tablanormal"/>
    <w:uiPriority w:val="64"/>
    <w:semiHidden/>
    <w:unhideWhenUsed/>
    <w:rsid w:val="002610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vnculovisitado">
    <w:name w:val="FollowedHyperlink"/>
    <w:uiPriority w:val="99"/>
    <w:semiHidden/>
    <w:unhideWhenUsed/>
    <w:rsid w:val="002610ED"/>
    <w:rPr>
      <w:color w:val="954F72"/>
      <w:u w:val="single"/>
    </w:rPr>
  </w:style>
  <w:style w:type="numbering" w:customStyle="1" w:styleId="Sinlista14">
    <w:name w:val="Sin lista14"/>
    <w:next w:val="Sinlista"/>
    <w:uiPriority w:val="99"/>
    <w:semiHidden/>
    <w:unhideWhenUsed/>
    <w:rsid w:val="0070471D"/>
  </w:style>
  <w:style w:type="table" w:customStyle="1" w:styleId="Tablaconcuadrcula42">
    <w:name w:val="Tabla con cuadrícula42"/>
    <w:basedOn w:val="Tablanormal"/>
    <w:next w:val="Tablaconcuadrcula"/>
    <w:uiPriority w:val="39"/>
    <w:rsid w:val="007047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semiHidden/>
    <w:unhideWhenUsed/>
    <w:rsid w:val="0070471D"/>
  </w:style>
  <w:style w:type="paragraph" w:customStyle="1" w:styleId="EndNoteBibliographyTitle">
    <w:name w:val="EndNote Bibliography Title"/>
    <w:basedOn w:val="Normal"/>
    <w:link w:val="EndNoteBibliographyTitleChar"/>
    <w:rsid w:val="0070471D"/>
    <w:pPr>
      <w:spacing w:after="0" w:line="276" w:lineRule="auto"/>
      <w:jc w:val="center"/>
    </w:pPr>
    <w:rPr>
      <w:rFonts w:cs="Calibri"/>
      <w:lang w:val="en-US"/>
    </w:rPr>
  </w:style>
  <w:style w:type="character" w:customStyle="1" w:styleId="EndNoteBibliographyTitleChar">
    <w:name w:val="EndNote Bibliography Title Char"/>
    <w:link w:val="EndNoteBibliographyTitle"/>
    <w:rsid w:val="0070471D"/>
    <w:rPr>
      <w:rFonts w:cs="Calibri"/>
      <w:sz w:val="22"/>
      <w:szCs w:val="22"/>
      <w:lang w:val="en-US" w:eastAsia="en-US"/>
    </w:rPr>
  </w:style>
  <w:style w:type="paragraph" w:customStyle="1" w:styleId="EndNoteBibliography">
    <w:name w:val="EndNote Bibliography"/>
    <w:basedOn w:val="Normal"/>
    <w:link w:val="EndNoteBibliographyChar"/>
    <w:rsid w:val="0070471D"/>
    <w:pPr>
      <w:spacing w:after="200" w:line="240" w:lineRule="auto"/>
    </w:pPr>
    <w:rPr>
      <w:rFonts w:cs="Calibri"/>
      <w:lang w:val="en-US"/>
    </w:rPr>
  </w:style>
  <w:style w:type="character" w:customStyle="1" w:styleId="EndNoteBibliographyChar">
    <w:name w:val="EndNote Bibliography Char"/>
    <w:link w:val="EndNoteBibliography"/>
    <w:rsid w:val="0070471D"/>
    <w:rPr>
      <w:rFonts w:cs="Calibri"/>
      <w:sz w:val="22"/>
      <w:szCs w:val="22"/>
      <w:lang w:val="en-US" w:eastAsia="en-US"/>
    </w:rPr>
  </w:style>
  <w:style w:type="table" w:customStyle="1" w:styleId="TableNormal5">
    <w:name w:val="Table Normal5"/>
    <w:uiPriority w:val="2"/>
    <w:semiHidden/>
    <w:unhideWhenUsed/>
    <w:qFormat/>
    <w:rsid w:val="0070471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anormal220">
    <w:name w:val="Tabla normal 220"/>
    <w:basedOn w:val="Tablanormal"/>
    <w:next w:val="Tablanormal2"/>
    <w:uiPriority w:val="42"/>
    <w:rsid w:val="0070471D"/>
    <w:pPr>
      <w:ind w:firstLine="720"/>
      <w:jc w:val="both"/>
    </w:pPr>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43">
    <w:name w:val="Tabla normal 43"/>
    <w:basedOn w:val="Tablanormal"/>
    <w:next w:val="Tablanormal4"/>
    <w:uiPriority w:val="44"/>
    <w:rsid w:val="0070471D"/>
    <w:pPr>
      <w:ind w:firstLine="720"/>
      <w:jc w:val="both"/>
    </w:pPr>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1clara1">
    <w:name w:val="Tabla de lista 1 clara1"/>
    <w:basedOn w:val="Tablanormal"/>
    <w:next w:val="Tabladelista1clara"/>
    <w:uiPriority w:val="46"/>
    <w:rsid w:val="0070471D"/>
    <w:pPr>
      <w:ind w:firstLine="720"/>
      <w:jc w:val="both"/>
    </w:pPr>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1">
    <w:name w:val="Tabla de lista 7 con colores1"/>
    <w:basedOn w:val="Tablanormal"/>
    <w:next w:val="Tabladelista7concolores"/>
    <w:uiPriority w:val="52"/>
    <w:rsid w:val="0070471D"/>
    <w:pPr>
      <w:ind w:firstLine="720"/>
      <w:jc w:val="both"/>
    </w:pPr>
    <w:rPr>
      <w:color w:val="000000"/>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6">
    <w:name w:val="Tabla de lista 6 con colores6"/>
    <w:basedOn w:val="Tablanormal"/>
    <w:next w:val="Tabladelista6concolores"/>
    <w:uiPriority w:val="51"/>
    <w:rsid w:val="0070471D"/>
    <w:pPr>
      <w:ind w:firstLine="720"/>
      <w:jc w:val="both"/>
    </w:pPr>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21">
    <w:name w:val="Tabla de lista 21"/>
    <w:basedOn w:val="Tablanormal"/>
    <w:next w:val="Tabladelista2"/>
    <w:uiPriority w:val="47"/>
    <w:rsid w:val="0070471D"/>
    <w:pPr>
      <w:ind w:firstLine="720"/>
      <w:jc w:val="both"/>
    </w:pPr>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1clara">
    <w:name w:val="List Table 1 Light"/>
    <w:basedOn w:val="Tablanormal"/>
    <w:uiPriority w:val="46"/>
    <w:rsid w:val="0070471D"/>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7concolores">
    <w:name w:val="List Table 7 Colorful"/>
    <w:basedOn w:val="Tablanormal"/>
    <w:uiPriority w:val="52"/>
    <w:rsid w:val="0070471D"/>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2">
    <w:name w:val="List Table 2"/>
    <w:basedOn w:val="Tablanormal"/>
    <w:uiPriority w:val="47"/>
    <w:rsid w:val="0070471D"/>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3">
    <w:name w:val="Tabla con cuadrícula43"/>
    <w:basedOn w:val="Tablanormal"/>
    <w:next w:val="Tablaconcuadrcula"/>
    <w:uiPriority w:val="59"/>
    <w:rsid w:val="00E23E26"/>
    <w:pPr>
      <w:ind w:firstLine="720"/>
    </w:pPr>
    <w:rPr>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B638D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638D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638D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638D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638D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638D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638D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39"/>
    <w:rsid w:val="00000F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o-nfasis21">
    <w:name w:val="Tabla de cuadrícula 1 Claro - Énfasis 21"/>
    <w:basedOn w:val="Tablanormal"/>
    <w:next w:val="Tablaconcuadrcula1Claro-nfasis2"/>
    <w:uiPriority w:val="46"/>
    <w:rsid w:val="008B07C4"/>
    <w:rPr>
      <w:lang w:val="es-ES" w:eastAsia="es-E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normal44">
    <w:name w:val="Tabla normal 44"/>
    <w:basedOn w:val="Tablanormal"/>
    <w:next w:val="Tablanormal4"/>
    <w:uiPriority w:val="44"/>
    <w:rsid w:val="008B07C4"/>
    <w:rPr>
      <w:lang w:val="es-ES"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52">
    <w:name w:val="Tabla normal 52"/>
    <w:basedOn w:val="Tablanormal"/>
    <w:next w:val="Tablanormal5"/>
    <w:uiPriority w:val="45"/>
    <w:rsid w:val="008B07C4"/>
    <w:rPr>
      <w:lang w:val="es-ES" w:eastAsia="es-E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next w:val="Tabladelista3-nfasis1"/>
    <w:uiPriority w:val="48"/>
    <w:rsid w:val="008B07C4"/>
    <w:rPr>
      <w:lang w:val="es-ES" w:eastAsia="es-E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normal32">
    <w:name w:val="Tabla normal 32"/>
    <w:basedOn w:val="Tablanormal"/>
    <w:next w:val="Tablanormal3"/>
    <w:uiPriority w:val="43"/>
    <w:rsid w:val="008B07C4"/>
    <w:rPr>
      <w:lang w:val="es-ES" w:eastAsia="es-E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concuadrcula1Claro-nfasis2">
    <w:name w:val="Grid Table 1 Light Accent 2"/>
    <w:basedOn w:val="Tablanormal"/>
    <w:uiPriority w:val="46"/>
    <w:rsid w:val="008B07C4"/>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Tabladelista3-nfasis1">
    <w:name w:val="List Table 3 Accent 1"/>
    <w:basedOn w:val="Tablanormal"/>
    <w:uiPriority w:val="48"/>
    <w:rsid w:val="008B07C4"/>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normal45">
    <w:name w:val="Tabla normal 45"/>
    <w:basedOn w:val="Tablanormal"/>
    <w:next w:val="Tablanormal4"/>
    <w:uiPriority w:val="44"/>
    <w:rsid w:val="008B07C4"/>
    <w:rPr>
      <w:lang w:val="es-ES"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3">
    <w:name w:val="Tabla normal 33"/>
    <w:basedOn w:val="Tablanormal"/>
    <w:next w:val="Tablanormal3"/>
    <w:uiPriority w:val="43"/>
    <w:rsid w:val="008B07C4"/>
    <w:rPr>
      <w:lang w:val="es-ES" w:eastAsia="es-E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3">
    <w:name w:val="Tabla normal 53"/>
    <w:basedOn w:val="Tablanormal"/>
    <w:next w:val="Tablanormal5"/>
    <w:uiPriority w:val="45"/>
    <w:rsid w:val="00AC1ACD"/>
    <w:rPr>
      <w:lang w:val="es-ES" w:eastAsia="es-E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4">
    <w:name w:val="Tabla normal 54"/>
    <w:basedOn w:val="Tablanormal"/>
    <w:next w:val="Tablanormal5"/>
    <w:uiPriority w:val="45"/>
    <w:rsid w:val="00AC1ACD"/>
    <w:rPr>
      <w:lang w:val="es-ES" w:eastAsia="es-E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2">
    <w:name w:val="Tabla de lista 3 - Énfasis 12"/>
    <w:basedOn w:val="Tablanormal"/>
    <w:next w:val="Tabladelista3-nfasis1"/>
    <w:uiPriority w:val="48"/>
    <w:rsid w:val="00AC1ACD"/>
    <w:rPr>
      <w:lang w:val="es-ES" w:eastAsia="es-E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concuadrcula45">
    <w:name w:val="Tabla con cuadrícula45"/>
    <w:basedOn w:val="Tablanormal"/>
    <w:next w:val="Tablaconcuadrcula"/>
    <w:uiPriority w:val="39"/>
    <w:rsid w:val="00493903"/>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14410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E1718"/>
  </w:style>
  <w:style w:type="table" w:customStyle="1" w:styleId="TableNormal13">
    <w:name w:val="Table Normal13"/>
    <w:rsid w:val="00DE1718"/>
    <w:pPr>
      <w:spacing w:after="160" w:line="259" w:lineRule="auto"/>
    </w:pPr>
    <w:rPr>
      <w:rFonts w:cs="Calibri"/>
      <w:sz w:val="22"/>
      <w:szCs w:val="22"/>
    </w:rPr>
    <w:tblPr>
      <w:tblCellMar>
        <w:top w:w="0" w:type="dxa"/>
        <w:left w:w="0" w:type="dxa"/>
        <w:bottom w:w="0" w:type="dxa"/>
        <w:right w:w="0" w:type="dxa"/>
      </w:tblCellMar>
    </w:tblPr>
  </w:style>
  <w:style w:type="table" w:customStyle="1" w:styleId="Tablaconcuadrcula47">
    <w:name w:val="Tabla con cuadrícula47"/>
    <w:basedOn w:val="Tablanormal"/>
    <w:next w:val="Tablaconcuadrcula"/>
    <w:uiPriority w:val="39"/>
    <w:rsid w:val="00AF72B0"/>
    <w:pPr>
      <w:widowControl w:val="0"/>
      <w:jc w:val="both"/>
    </w:pPr>
    <w:rPr>
      <w:rFonts w:ascii="Century Gothic" w:eastAsia="Century Gothic" w:hAnsi="Century Gothic" w:cs="Century Gothic"/>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4428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Tablaconcuadrculaclara"/>
    <w:uiPriority w:val="40"/>
    <w:rsid w:val="004428B5"/>
    <w:rPr>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4">
    <w:name w:val="Table Normal14"/>
    <w:uiPriority w:val="2"/>
    <w:semiHidden/>
    <w:unhideWhenUsed/>
    <w:qFormat/>
    <w:rsid w:val="000A0C3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Sinlista16">
    <w:name w:val="Sin lista16"/>
    <w:next w:val="Sinlista"/>
    <w:uiPriority w:val="99"/>
    <w:semiHidden/>
    <w:unhideWhenUsed/>
    <w:rsid w:val="00BD21B3"/>
  </w:style>
  <w:style w:type="paragraph" w:customStyle="1" w:styleId="author">
    <w:name w:val="author"/>
    <w:basedOn w:val="Normal"/>
    <w:next w:val="Normal"/>
    <w:uiPriority w:val="99"/>
    <w:rsid w:val="00BD21B3"/>
    <w:pPr>
      <w:widowControl w:val="0"/>
      <w:autoSpaceDE w:val="0"/>
      <w:autoSpaceDN w:val="0"/>
      <w:adjustRightInd w:val="0"/>
      <w:spacing w:after="120" w:line="240" w:lineRule="auto"/>
      <w:jc w:val="center"/>
    </w:pPr>
    <w:rPr>
      <w:rFonts w:ascii="Times New Roman" w:eastAsia="Times New Roman" w:hAnsi="Times New Roman"/>
      <w:noProof/>
      <w:sz w:val="20"/>
      <w:szCs w:val="20"/>
      <w:lang w:val="es-ES" w:eastAsia="zh-TW"/>
    </w:rPr>
  </w:style>
  <w:style w:type="table" w:customStyle="1" w:styleId="Tablaconcuadrcula49">
    <w:name w:val="Tabla con cuadrícula49"/>
    <w:basedOn w:val="Tablanormal"/>
    <w:next w:val="Tablaconcuadrcula"/>
    <w:uiPriority w:val="39"/>
    <w:rsid w:val="00BD21B3"/>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bibliogrficas">
    <w:name w:val="Referencias bibliográficas"/>
    <w:basedOn w:val="Normal"/>
    <w:qFormat/>
    <w:rsid w:val="00BD21B3"/>
    <w:pPr>
      <w:spacing w:before="120" w:after="120" w:line="360" w:lineRule="auto"/>
      <w:ind w:left="284" w:hanging="284"/>
      <w:jc w:val="both"/>
    </w:pPr>
    <w:rPr>
      <w:rFonts w:eastAsia="Times New Roman"/>
      <w:sz w:val="24"/>
      <w:szCs w:val="24"/>
      <w:lang w:val="en-US" w:eastAsia="es-ES"/>
    </w:rPr>
  </w:style>
  <w:style w:type="table" w:customStyle="1" w:styleId="Tablaconcuadrcula50">
    <w:name w:val="Tabla con cuadrícula50"/>
    <w:basedOn w:val="Tablanormal"/>
    <w:next w:val="Tablaconcuadrcula"/>
    <w:uiPriority w:val="39"/>
    <w:rsid w:val="002E3C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B24EE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B24EE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B8020D"/>
  </w:style>
  <w:style w:type="character" w:customStyle="1" w:styleId="TablaCar">
    <w:name w:val="Tabla Car"/>
    <w:link w:val="Tabla"/>
    <w:qFormat/>
    <w:rsid w:val="00B8020D"/>
    <w:rPr>
      <w:rFonts w:ascii="Arial" w:hAnsi="Arial"/>
      <w:i/>
      <w:iCs/>
      <w:sz w:val="24"/>
      <w:szCs w:val="18"/>
    </w:rPr>
  </w:style>
  <w:style w:type="paragraph" w:customStyle="1" w:styleId="Cabeceraypie">
    <w:name w:val="Cabecera y pie"/>
    <w:basedOn w:val="Normal"/>
    <w:qFormat/>
    <w:rsid w:val="00B8020D"/>
    <w:pPr>
      <w:suppressAutoHyphens/>
    </w:pPr>
    <w:rPr>
      <w:rFonts w:cs="Calibri"/>
      <w:lang w:val="es-US"/>
    </w:rPr>
  </w:style>
  <w:style w:type="paragraph" w:customStyle="1" w:styleId="Tabla">
    <w:name w:val="Tabla"/>
    <w:basedOn w:val="Descripcin"/>
    <w:link w:val="TablaCar"/>
    <w:qFormat/>
    <w:rsid w:val="00B8020D"/>
    <w:pPr>
      <w:keepNext/>
      <w:suppressLineNumbers w:val="0"/>
      <w:spacing w:before="0" w:after="200"/>
    </w:pPr>
    <w:rPr>
      <w:rFonts w:ascii="Arial" w:eastAsia="Calibri" w:hAnsi="Arial" w:cs="Times New Roman"/>
      <w:kern w:val="0"/>
      <w:szCs w:val="18"/>
      <w:lang w:val="es-EC" w:eastAsia="es-EC" w:bidi="ar-SA"/>
    </w:rPr>
  </w:style>
  <w:style w:type="paragraph" w:customStyle="1" w:styleId="APABodyText">
    <w:name w:val="APA Body Text"/>
    <w:basedOn w:val="Normal"/>
    <w:qFormat/>
    <w:rsid w:val="00B8020D"/>
    <w:pPr>
      <w:suppressAutoHyphens/>
      <w:spacing w:after="0" w:line="480" w:lineRule="auto"/>
      <w:ind w:firstLine="720"/>
    </w:pPr>
    <w:rPr>
      <w:rFonts w:ascii="Times New Roman" w:eastAsia="Times New Roman" w:hAnsi="Times New Roman"/>
      <w:sz w:val="24"/>
      <w:szCs w:val="32"/>
      <w:lang w:val="en-US"/>
    </w:rPr>
  </w:style>
  <w:style w:type="table" w:customStyle="1" w:styleId="Tablaconcuadrcula53">
    <w:name w:val="Tabla con cuadrícula53"/>
    <w:basedOn w:val="Tablanormal"/>
    <w:next w:val="Tablaconcuadrcula"/>
    <w:uiPriority w:val="39"/>
    <w:rsid w:val="00B8020D"/>
    <w:pPr>
      <w:suppressAutoHyphens/>
    </w:pPr>
    <w:rPr>
      <w:rFonts w:cs="Calibri"/>
      <w:szCs w:val="22"/>
      <w:lang w:val="es-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next w:val="Tablaconcuadrcula4-nfasis3"/>
    <w:uiPriority w:val="49"/>
    <w:rsid w:val="00B8020D"/>
    <w:pPr>
      <w:suppressAutoHyphens/>
    </w:pPr>
    <w:rPr>
      <w:rFonts w:cs="Calibri"/>
      <w:szCs w:val="22"/>
      <w:lang w:val="es-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4">
    <w:name w:val="Tabla normal 34"/>
    <w:basedOn w:val="Tablanormal"/>
    <w:next w:val="Tablanormal3"/>
    <w:uiPriority w:val="43"/>
    <w:rsid w:val="00B8020D"/>
    <w:pPr>
      <w:suppressAutoHyphens/>
    </w:pPr>
    <w:rPr>
      <w:rFonts w:cs="Calibri"/>
      <w:szCs w:val="22"/>
      <w:lang w:val="es-US" w:eastAsia="en-US"/>
    </w:rPr>
    <w:tblPr>
      <w:tblStyleRowBandSize w:val="1"/>
      <w:tblStyleColBandSize w:val="1"/>
    </w:tblPr>
    <w:tblStylePr w:type="firstRow">
      <w:rPr>
        <w:b/>
        <w:bCs/>
        <w:caps/>
      </w:rPr>
      <w:tblPr/>
      <w:tcPr>
        <w:tcBorders>
          <w:bottom w:val="single" w:sz="4" w:space="0" w:color="000000"/>
        </w:tcBorders>
      </w:tcPr>
    </w:tblStylePr>
    <w:tblStylePr w:type="lastRow">
      <w:rPr>
        <w:b/>
        <w:bCs/>
        <w:caps/>
      </w:rPr>
      <w:tblPr/>
      <w:tcPr>
        <w:tcBorders>
          <w:top w:val="nil"/>
        </w:tcBorders>
      </w:tcPr>
    </w:tblStylePr>
    <w:tblStylePr w:type="firstCol">
      <w:rPr>
        <w:b/>
        <w:bCs/>
        <w:caps/>
      </w:rPr>
      <w:tblPr/>
      <w:tcPr>
        <w:tcBorders>
          <w:right w:val="single" w:sz="4" w:space="0" w:color="000000"/>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PA7">
    <w:name w:val="APA 7"/>
    <w:basedOn w:val="Tablanormal"/>
    <w:uiPriority w:val="99"/>
    <w:rsid w:val="00B8020D"/>
    <w:pPr>
      <w:suppressAutoHyphens/>
    </w:pPr>
    <w:rPr>
      <w:rFonts w:cs="Calibri"/>
      <w:sz w:val="24"/>
      <w:szCs w:val="22"/>
      <w:lang w:eastAsia="en-US"/>
    </w:rPr>
    <w:tblPr>
      <w:tblBorders>
        <w:top w:val="single" w:sz="4" w:space="0" w:color="auto"/>
        <w:bottom w:val="single" w:sz="4" w:space="0" w:color="auto"/>
      </w:tblBorders>
    </w:tblPr>
    <w:tblStylePr w:type="firstRow">
      <w:tblPr/>
      <w:tcPr>
        <w:tcBorders>
          <w:bottom w:val="single" w:sz="4" w:space="0" w:color="auto"/>
        </w:tcBorders>
      </w:tcPr>
    </w:tblStylePr>
  </w:style>
  <w:style w:type="table" w:styleId="Tablaconcuadrcula4-nfasis3">
    <w:name w:val="Grid Table 4 Accent 3"/>
    <w:basedOn w:val="Tablanormal"/>
    <w:uiPriority w:val="49"/>
    <w:rsid w:val="00B8020D"/>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8">
    <w:name w:val="Sin lista18"/>
    <w:next w:val="Sinlista"/>
    <w:uiPriority w:val="99"/>
    <w:semiHidden/>
    <w:unhideWhenUsed/>
    <w:rsid w:val="00896937"/>
  </w:style>
  <w:style w:type="table" w:customStyle="1" w:styleId="Tablaconcuadrcula54">
    <w:name w:val="Tabla con cuadrícula54"/>
    <w:basedOn w:val="Tablanormal"/>
    <w:next w:val="Tablaconcuadrcula"/>
    <w:uiPriority w:val="39"/>
    <w:rsid w:val="00896937"/>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7">
    <w:name w:val="Tabla de lista 6 con colores7"/>
    <w:basedOn w:val="Tablanormal"/>
    <w:next w:val="Tabladelista6concolores"/>
    <w:uiPriority w:val="51"/>
    <w:rsid w:val="00896937"/>
    <w:rPr>
      <w:color w:val="000000"/>
      <w:sz w:val="22"/>
      <w:szCs w:val="22"/>
      <w:lang w:val="en-US"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55">
    <w:name w:val="Tabla con cuadrícula55"/>
    <w:basedOn w:val="Tablanormal"/>
    <w:next w:val="Tablaconcuadrcula"/>
    <w:uiPriority w:val="39"/>
    <w:rsid w:val="00B30C67"/>
    <w:pPr>
      <w:spacing w:before="225" w:after="225"/>
      <w:ind w:firstLine="720"/>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027B53"/>
  </w:style>
  <w:style w:type="character" w:customStyle="1" w:styleId="sr-only">
    <w:name w:val="sr-only"/>
    <w:rsid w:val="00027B53"/>
  </w:style>
  <w:style w:type="character" w:styleId="Mencinsinresolver">
    <w:name w:val="Unresolved Mention"/>
    <w:uiPriority w:val="99"/>
    <w:semiHidden/>
    <w:unhideWhenUsed/>
    <w:rsid w:val="00AD1877"/>
    <w:rPr>
      <w:color w:val="605E5C"/>
      <w:shd w:val="clear" w:color="auto" w:fill="E1DFDD"/>
    </w:rPr>
  </w:style>
  <w:style w:type="table" w:styleId="Tablaconcuadrcula1clara-nfasis4">
    <w:name w:val="Grid Table 1 Light Accent 4"/>
    <w:basedOn w:val="Tablanormal"/>
    <w:uiPriority w:val="46"/>
    <w:rsid w:val="00874D9E"/>
    <w:rPr>
      <w:sz w:val="22"/>
      <w:szCs w:val="22"/>
      <w:lang w:val="es-ES"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Tablaconcuadrcula5oscura-nfasis3">
    <w:name w:val="Grid Table 5 Dark Accent 3"/>
    <w:basedOn w:val="Tablanormal"/>
    <w:uiPriority w:val="50"/>
    <w:rsid w:val="00874D9E"/>
    <w:rPr>
      <w:sz w:val="22"/>
      <w:szCs w:val="22"/>
      <w:lang w:val="es-E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concuadrcula4-nfasis5">
    <w:name w:val="Grid Table 4 Accent 5"/>
    <w:basedOn w:val="Tablanormal"/>
    <w:uiPriority w:val="49"/>
    <w:rsid w:val="00874D9E"/>
    <w:rPr>
      <w:sz w:val="22"/>
      <w:szCs w:val="22"/>
      <w:lang w:val="es-E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5oscura-nfasis5">
    <w:name w:val="Grid Table 5 Dark Accent 5"/>
    <w:basedOn w:val="Tablanormal"/>
    <w:uiPriority w:val="50"/>
    <w:rsid w:val="00874D9E"/>
    <w:rPr>
      <w:sz w:val="22"/>
      <w:szCs w:val="22"/>
      <w:lang w:val="es-E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51">
    <w:name w:val="Tabla con cuadrícula 4 - Énfasis 51"/>
    <w:basedOn w:val="Tablanormal"/>
    <w:next w:val="Tablaconcuadrcula4-nfasis5"/>
    <w:uiPriority w:val="49"/>
    <w:rsid w:val="00874D9E"/>
    <w:rPr>
      <w:sz w:val="22"/>
      <w:szCs w:val="22"/>
      <w:lang w:val="es-E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4-nfasis1">
    <w:name w:val="Grid Table 4 Accent 1"/>
    <w:basedOn w:val="Tablanormal"/>
    <w:uiPriority w:val="49"/>
    <w:rsid w:val="00874D9E"/>
    <w:rPr>
      <w:sz w:val="22"/>
      <w:szCs w:val="22"/>
      <w:lang w:val="es-E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6concolores-nfasis2">
    <w:name w:val="Grid Table 6 Colorful Accent 2"/>
    <w:basedOn w:val="Tablanormal"/>
    <w:uiPriority w:val="51"/>
    <w:rsid w:val="00874D9E"/>
    <w:rPr>
      <w:color w:val="C45911"/>
      <w:sz w:val="22"/>
      <w:szCs w:val="22"/>
      <w:lang w:val="es-ES"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concuadrcula3-nfasis1">
    <w:name w:val="Grid Table 3 Accent 1"/>
    <w:basedOn w:val="Tablanormal"/>
    <w:uiPriority w:val="48"/>
    <w:rsid w:val="00874D9E"/>
    <w:rPr>
      <w:sz w:val="22"/>
      <w:szCs w:val="22"/>
      <w:lang w:val="es-E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Tablaconcuadrcula2-nfasis3">
    <w:name w:val="Grid Table 2 Accent 3"/>
    <w:basedOn w:val="Tablanormal"/>
    <w:uiPriority w:val="47"/>
    <w:rsid w:val="00874D9E"/>
    <w:rPr>
      <w:sz w:val="22"/>
      <w:szCs w:val="22"/>
      <w:lang w:val="es-ES"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msonormal0">
    <w:name w:val="msonormal"/>
    <w:basedOn w:val="Normal"/>
    <w:rsid w:val="00874D9E"/>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xl65">
    <w:name w:val="xl65"/>
    <w:basedOn w:val="Normal"/>
    <w:rsid w:val="00874D9E"/>
    <w:pP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es-EC"/>
    </w:rPr>
  </w:style>
  <w:style w:type="paragraph" w:customStyle="1" w:styleId="xl66">
    <w:name w:val="xl66"/>
    <w:basedOn w:val="Normal"/>
    <w:rsid w:val="00874D9E"/>
    <w:pPr>
      <w:spacing w:before="100" w:beforeAutospacing="1" w:after="100" w:afterAutospacing="1" w:line="240" w:lineRule="auto"/>
      <w:jc w:val="center"/>
      <w:textAlignment w:val="center"/>
    </w:pPr>
    <w:rPr>
      <w:rFonts w:ascii="Times New Roman" w:eastAsia="Times New Roman" w:hAnsi="Times New Roman"/>
      <w:sz w:val="24"/>
      <w:szCs w:val="24"/>
      <w:lang w:eastAsia="es-EC"/>
    </w:rPr>
  </w:style>
  <w:style w:type="paragraph" w:customStyle="1" w:styleId="xl67">
    <w:name w:val="xl67"/>
    <w:basedOn w:val="Normal"/>
    <w:rsid w:val="00874D9E"/>
    <w:pPr>
      <w:spacing w:before="100" w:beforeAutospacing="1" w:after="100" w:afterAutospacing="1" w:line="240" w:lineRule="auto"/>
    </w:pPr>
    <w:rPr>
      <w:rFonts w:ascii="Times New Roman" w:eastAsia="Times New Roman" w:hAnsi="Times New Roman"/>
      <w:b/>
      <w:bCs/>
      <w:sz w:val="24"/>
      <w:szCs w:val="24"/>
      <w:lang w:eastAsia="es-EC"/>
    </w:rPr>
  </w:style>
  <w:style w:type="paragraph" w:customStyle="1" w:styleId="xl68">
    <w:name w:val="xl68"/>
    <w:basedOn w:val="Normal"/>
    <w:rsid w:val="00874D9E"/>
    <w:pPr>
      <w:shd w:val="clear" w:color="000000" w:fill="FFE699"/>
      <w:spacing w:before="100" w:beforeAutospacing="1" w:after="100" w:afterAutospacing="1" w:line="240" w:lineRule="auto"/>
    </w:pPr>
    <w:rPr>
      <w:rFonts w:ascii="Times New Roman" w:eastAsia="Times New Roman" w:hAnsi="Times New Roman"/>
      <w:b/>
      <w:bCs/>
      <w:sz w:val="16"/>
      <w:szCs w:val="16"/>
      <w:lang w:eastAsia="es-EC"/>
    </w:rPr>
  </w:style>
  <w:style w:type="paragraph" w:customStyle="1" w:styleId="xl69">
    <w:name w:val="xl69"/>
    <w:basedOn w:val="Normal"/>
    <w:rsid w:val="00874D9E"/>
    <w:pPr>
      <w:shd w:val="clear" w:color="000000" w:fill="FFE699"/>
      <w:spacing w:before="100" w:beforeAutospacing="1" w:after="100" w:afterAutospacing="1" w:line="240" w:lineRule="auto"/>
    </w:pPr>
    <w:rPr>
      <w:rFonts w:ascii="Times New Roman" w:eastAsia="Times New Roman" w:hAnsi="Times New Roman"/>
      <w:b/>
      <w:bCs/>
      <w:sz w:val="16"/>
      <w:szCs w:val="16"/>
      <w:lang w:eastAsia="es-EC"/>
    </w:rPr>
  </w:style>
  <w:style w:type="paragraph" w:customStyle="1" w:styleId="xl70">
    <w:name w:val="xl70"/>
    <w:basedOn w:val="Normal"/>
    <w:rsid w:val="00874D9E"/>
    <w:pPr>
      <w:pBdr>
        <w:top w:val="single" w:sz="4" w:space="0" w:color="auto"/>
      </w:pBdr>
      <w:shd w:val="clear" w:color="000000" w:fill="F8CBAD"/>
      <w:spacing w:before="100" w:beforeAutospacing="1" w:after="100" w:afterAutospacing="1" w:line="240" w:lineRule="auto"/>
      <w:jc w:val="center"/>
    </w:pPr>
    <w:rPr>
      <w:rFonts w:ascii="Times New Roman" w:eastAsia="Times New Roman" w:hAnsi="Times New Roman"/>
      <w:b/>
      <w:bCs/>
      <w:sz w:val="16"/>
      <w:szCs w:val="16"/>
      <w:lang w:eastAsia="es-EC"/>
    </w:rPr>
  </w:style>
  <w:style w:type="paragraph" w:customStyle="1" w:styleId="xl71">
    <w:name w:val="xl71"/>
    <w:basedOn w:val="Normal"/>
    <w:rsid w:val="00874D9E"/>
    <w:pPr>
      <w:pBdr>
        <w:top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b/>
      <w:bCs/>
      <w:sz w:val="16"/>
      <w:szCs w:val="16"/>
      <w:lang w:eastAsia="es-EC"/>
    </w:rPr>
  </w:style>
  <w:style w:type="paragraph" w:customStyle="1" w:styleId="xl72">
    <w:name w:val="xl72"/>
    <w:basedOn w:val="Normal"/>
    <w:rsid w:val="00874D9E"/>
    <w:pPr>
      <w:pBdr>
        <w:bottom w:val="single" w:sz="4" w:space="0" w:color="auto"/>
      </w:pBdr>
      <w:shd w:val="clear" w:color="000000" w:fill="F8CBAD"/>
      <w:spacing w:before="100" w:beforeAutospacing="1" w:after="100" w:afterAutospacing="1" w:line="240" w:lineRule="auto"/>
      <w:jc w:val="center"/>
    </w:pPr>
    <w:rPr>
      <w:rFonts w:ascii="Times New Roman" w:eastAsia="Times New Roman" w:hAnsi="Times New Roman"/>
      <w:b/>
      <w:bCs/>
      <w:sz w:val="16"/>
      <w:szCs w:val="16"/>
      <w:lang w:eastAsia="es-EC"/>
    </w:rPr>
  </w:style>
  <w:style w:type="paragraph" w:customStyle="1" w:styleId="xl73">
    <w:name w:val="xl73"/>
    <w:basedOn w:val="Normal"/>
    <w:rsid w:val="00874D9E"/>
    <w:pPr>
      <w:shd w:val="clear" w:color="000000" w:fill="FFFFFF"/>
      <w:spacing w:before="100" w:beforeAutospacing="1" w:after="100" w:afterAutospacing="1" w:line="240" w:lineRule="auto"/>
    </w:pPr>
    <w:rPr>
      <w:rFonts w:ascii="Times New Roman" w:eastAsia="Times New Roman" w:hAnsi="Times New Roman"/>
      <w:sz w:val="16"/>
      <w:szCs w:val="16"/>
      <w:lang w:eastAsia="es-EC"/>
    </w:rPr>
  </w:style>
  <w:style w:type="paragraph" w:customStyle="1" w:styleId="xl74">
    <w:name w:val="xl74"/>
    <w:basedOn w:val="Normal"/>
    <w:rsid w:val="00874D9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lang w:eastAsia="es-EC"/>
    </w:rPr>
  </w:style>
  <w:style w:type="paragraph" w:customStyle="1" w:styleId="xl75">
    <w:name w:val="xl75"/>
    <w:basedOn w:val="Normal"/>
    <w:rsid w:val="00874D9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lang w:eastAsia="es-EC"/>
    </w:rPr>
  </w:style>
  <w:style w:type="paragraph" w:customStyle="1" w:styleId="xl76">
    <w:name w:val="xl76"/>
    <w:basedOn w:val="Normal"/>
    <w:rsid w:val="00874D9E"/>
    <w:pPr>
      <w:spacing w:before="100" w:beforeAutospacing="1" w:after="100" w:afterAutospacing="1" w:line="240" w:lineRule="auto"/>
    </w:pPr>
    <w:rPr>
      <w:rFonts w:ascii="Times New Roman" w:eastAsia="Times New Roman" w:hAnsi="Times New Roman"/>
      <w:sz w:val="16"/>
      <w:szCs w:val="16"/>
      <w:lang w:eastAsia="es-EC"/>
    </w:rPr>
  </w:style>
  <w:style w:type="paragraph" w:customStyle="1" w:styleId="xl77">
    <w:name w:val="xl77"/>
    <w:basedOn w:val="Normal"/>
    <w:rsid w:val="00874D9E"/>
    <w:pPr>
      <w:spacing w:before="100" w:beforeAutospacing="1" w:after="100" w:afterAutospacing="1" w:line="240" w:lineRule="auto"/>
    </w:pPr>
    <w:rPr>
      <w:rFonts w:ascii="Times New Roman" w:eastAsia="Times New Roman" w:hAnsi="Times New Roman"/>
      <w:sz w:val="16"/>
      <w:szCs w:val="16"/>
      <w:lang w:eastAsia="es-EC"/>
    </w:rPr>
  </w:style>
  <w:style w:type="paragraph" w:customStyle="1" w:styleId="xl78">
    <w:name w:val="xl78"/>
    <w:basedOn w:val="Normal"/>
    <w:rsid w:val="00874D9E"/>
    <w:pPr>
      <w:shd w:val="clear" w:color="000000" w:fill="FFE699"/>
      <w:spacing w:before="100" w:beforeAutospacing="1" w:after="100" w:afterAutospacing="1" w:line="240" w:lineRule="auto"/>
      <w:jc w:val="center"/>
    </w:pPr>
    <w:rPr>
      <w:rFonts w:ascii="Times New Roman" w:eastAsia="Times New Roman" w:hAnsi="Times New Roman"/>
      <w:b/>
      <w:bCs/>
      <w:sz w:val="16"/>
      <w:szCs w:val="16"/>
      <w:lang w:eastAsia="es-EC"/>
    </w:rPr>
  </w:style>
  <w:style w:type="paragraph" w:customStyle="1" w:styleId="xl79">
    <w:name w:val="xl79"/>
    <w:basedOn w:val="Normal"/>
    <w:rsid w:val="00874D9E"/>
    <w:pPr>
      <w:pBdr>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b/>
      <w:bCs/>
      <w:sz w:val="16"/>
      <w:szCs w:val="16"/>
      <w:lang w:eastAsia="es-EC"/>
    </w:rPr>
  </w:style>
  <w:style w:type="paragraph" w:customStyle="1" w:styleId="xl80">
    <w:name w:val="xl80"/>
    <w:basedOn w:val="Normal"/>
    <w:rsid w:val="00874D9E"/>
    <w:pPr>
      <w:pBdr>
        <w:left w:val="single" w:sz="4" w:space="0" w:color="FFFFFF"/>
      </w:pBdr>
      <w:spacing w:before="100" w:beforeAutospacing="1" w:after="100" w:afterAutospacing="1" w:line="240" w:lineRule="auto"/>
      <w:jc w:val="center"/>
    </w:pPr>
    <w:rPr>
      <w:rFonts w:ascii="Times New Roman" w:eastAsia="Times New Roman" w:hAnsi="Times New Roman"/>
      <w:b/>
      <w:bCs/>
      <w:color w:val="0070C0"/>
      <w:sz w:val="16"/>
      <w:szCs w:val="16"/>
      <w:lang w:eastAsia="es-EC"/>
    </w:rPr>
  </w:style>
  <w:style w:type="paragraph" w:customStyle="1" w:styleId="xl81">
    <w:name w:val="xl81"/>
    <w:basedOn w:val="Normal"/>
    <w:rsid w:val="00874D9E"/>
    <w:pPr>
      <w:spacing w:before="100" w:beforeAutospacing="1" w:after="100" w:afterAutospacing="1" w:line="240" w:lineRule="auto"/>
      <w:jc w:val="center"/>
    </w:pPr>
    <w:rPr>
      <w:rFonts w:ascii="Times New Roman" w:eastAsia="Times New Roman" w:hAnsi="Times New Roman"/>
      <w:b/>
      <w:bCs/>
      <w:color w:val="0070C0"/>
      <w:sz w:val="16"/>
      <w:szCs w:val="16"/>
      <w:lang w:eastAsia="es-EC"/>
    </w:rPr>
  </w:style>
  <w:style w:type="paragraph" w:customStyle="1" w:styleId="xl82">
    <w:name w:val="xl82"/>
    <w:basedOn w:val="Normal"/>
    <w:rsid w:val="00874D9E"/>
    <w:pPr>
      <w:pBdr>
        <w:left w:val="single" w:sz="4" w:space="0" w:color="FFFFFF"/>
      </w:pBdr>
      <w:spacing w:before="100" w:beforeAutospacing="1" w:after="100" w:afterAutospacing="1" w:line="240" w:lineRule="auto"/>
      <w:jc w:val="center"/>
    </w:pPr>
    <w:rPr>
      <w:rFonts w:ascii="Times New Roman" w:eastAsia="Times New Roman" w:hAnsi="Times New Roman"/>
      <w:b/>
      <w:bCs/>
      <w:color w:val="C65911"/>
      <w:sz w:val="16"/>
      <w:szCs w:val="16"/>
      <w:lang w:eastAsia="es-EC"/>
    </w:rPr>
  </w:style>
  <w:style w:type="paragraph" w:customStyle="1" w:styleId="xl83">
    <w:name w:val="xl83"/>
    <w:basedOn w:val="Normal"/>
    <w:rsid w:val="00874D9E"/>
    <w:pPr>
      <w:spacing w:before="100" w:beforeAutospacing="1" w:after="100" w:afterAutospacing="1" w:line="240" w:lineRule="auto"/>
      <w:jc w:val="center"/>
    </w:pPr>
    <w:rPr>
      <w:rFonts w:ascii="Times New Roman" w:eastAsia="Times New Roman" w:hAnsi="Times New Roman"/>
      <w:b/>
      <w:bCs/>
      <w:color w:val="C65911"/>
      <w:sz w:val="16"/>
      <w:szCs w:val="16"/>
      <w:lang w:eastAsia="es-EC"/>
    </w:rPr>
  </w:style>
  <w:style w:type="paragraph" w:customStyle="1" w:styleId="xl84">
    <w:name w:val="xl84"/>
    <w:basedOn w:val="Normal"/>
    <w:rsid w:val="00874D9E"/>
    <w:pPr>
      <w:pBdr>
        <w:left w:val="single" w:sz="4" w:space="0" w:color="FFFFFF"/>
      </w:pBdr>
      <w:spacing w:before="100" w:beforeAutospacing="1" w:after="100" w:afterAutospacing="1" w:line="240" w:lineRule="auto"/>
      <w:jc w:val="center"/>
    </w:pPr>
    <w:rPr>
      <w:rFonts w:ascii="Times New Roman" w:eastAsia="Times New Roman" w:hAnsi="Times New Roman"/>
      <w:b/>
      <w:bCs/>
      <w:sz w:val="16"/>
      <w:szCs w:val="16"/>
      <w:lang w:eastAsia="es-EC"/>
    </w:rPr>
  </w:style>
  <w:style w:type="paragraph" w:customStyle="1" w:styleId="xl85">
    <w:name w:val="xl85"/>
    <w:basedOn w:val="Normal"/>
    <w:rsid w:val="00874D9E"/>
    <w:pPr>
      <w:spacing w:before="100" w:beforeAutospacing="1" w:after="100" w:afterAutospacing="1" w:line="240" w:lineRule="auto"/>
      <w:jc w:val="center"/>
    </w:pPr>
    <w:rPr>
      <w:rFonts w:ascii="Times New Roman" w:eastAsia="Times New Roman" w:hAnsi="Times New Roman"/>
      <w:b/>
      <w:bCs/>
      <w:sz w:val="16"/>
      <w:szCs w:val="16"/>
      <w:lang w:eastAsia="es-EC"/>
    </w:rPr>
  </w:style>
  <w:style w:type="paragraph" w:customStyle="1" w:styleId="xl86">
    <w:name w:val="xl86"/>
    <w:basedOn w:val="Normal"/>
    <w:rsid w:val="00874D9E"/>
    <w:pPr>
      <w:shd w:val="clear" w:color="000000" w:fill="FFF2CC"/>
      <w:spacing w:before="100" w:beforeAutospacing="1" w:after="100" w:afterAutospacing="1" w:line="240" w:lineRule="auto"/>
    </w:pPr>
    <w:rPr>
      <w:rFonts w:ascii="Times New Roman" w:eastAsia="Times New Roman" w:hAnsi="Times New Roman"/>
      <w:b/>
      <w:bCs/>
      <w:sz w:val="16"/>
      <w:szCs w:val="16"/>
      <w:lang w:eastAsia="es-EC"/>
    </w:rPr>
  </w:style>
  <w:style w:type="paragraph" w:customStyle="1" w:styleId="xl87">
    <w:name w:val="xl87"/>
    <w:basedOn w:val="Normal"/>
    <w:rsid w:val="00874D9E"/>
    <w:pPr>
      <w:shd w:val="clear" w:color="000000" w:fill="FFF2CC"/>
      <w:spacing w:before="100" w:beforeAutospacing="1" w:after="100" w:afterAutospacing="1" w:line="240" w:lineRule="auto"/>
    </w:pPr>
    <w:rPr>
      <w:rFonts w:ascii="Times New Roman" w:eastAsia="Times New Roman" w:hAnsi="Times New Roman"/>
      <w:b/>
      <w:bCs/>
      <w:sz w:val="16"/>
      <w:szCs w:val="16"/>
      <w:lang w:eastAsia="es-EC"/>
    </w:rPr>
  </w:style>
  <w:style w:type="paragraph" w:customStyle="1" w:styleId="xl63">
    <w:name w:val="xl63"/>
    <w:basedOn w:val="Normal"/>
    <w:rsid w:val="00874D9E"/>
    <w:pP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es-EC"/>
    </w:rPr>
  </w:style>
  <w:style w:type="paragraph" w:customStyle="1" w:styleId="xl64">
    <w:name w:val="xl64"/>
    <w:basedOn w:val="Normal"/>
    <w:rsid w:val="00874D9E"/>
    <w:pPr>
      <w:spacing w:before="100" w:beforeAutospacing="1" w:after="100" w:afterAutospacing="1" w:line="240" w:lineRule="auto"/>
      <w:jc w:val="center"/>
      <w:textAlignment w:val="center"/>
    </w:pPr>
    <w:rPr>
      <w:rFonts w:ascii="Times New Roman" w:eastAsia="Times New Roman" w:hAnsi="Times New Roman"/>
      <w:sz w:val="24"/>
      <w:szCs w:val="24"/>
      <w:lang w:eastAsia="es-EC"/>
    </w:rPr>
  </w:style>
  <w:style w:type="paragraph" w:customStyle="1" w:styleId="xl88">
    <w:name w:val="xl88"/>
    <w:basedOn w:val="Normal"/>
    <w:rsid w:val="00874D9E"/>
    <w:pPr>
      <w:pBdr>
        <w:left w:val="single" w:sz="4" w:space="0" w:color="FFFFFF"/>
      </w:pBdr>
      <w:spacing w:before="100" w:beforeAutospacing="1" w:after="100" w:afterAutospacing="1" w:line="240" w:lineRule="auto"/>
      <w:jc w:val="center"/>
    </w:pPr>
    <w:rPr>
      <w:rFonts w:ascii="Times New Roman" w:eastAsia="Times New Roman" w:hAnsi="Times New Roman"/>
      <w:b/>
      <w:bCs/>
      <w:color w:val="0070C0"/>
      <w:sz w:val="16"/>
      <w:szCs w:val="16"/>
      <w:lang w:eastAsia="es-EC"/>
    </w:rPr>
  </w:style>
  <w:style w:type="paragraph" w:customStyle="1" w:styleId="xl89">
    <w:name w:val="xl89"/>
    <w:basedOn w:val="Normal"/>
    <w:rsid w:val="00874D9E"/>
    <w:pPr>
      <w:spacing w:before="100" w:beforeAutospacing="1" w:after="100" w:afterAutospacing="1" w:line="240" w:lineRule="auto"/>
      <w:jc w:val="center"/>
    </w:pPr>
    <w:rPr>
      <w:rFonts w:ascii="Times New Roman" w:eastAsia="Times New Roman" w:hAnsi="Times New Roman"/>
      <w:b/>
      <w:bCs/>
      <w:color w:val="0070C0"/>
      <w:sz w:val="16"/>
      <w:szCs w:val="16"/>
      <w:lang w:eastAsia="es-EC"/>
    </w:rPr>
  </w:style>
  <w:style w:type="paragraph" w:customStyle="1" w:styleId="xl90">
    <w:name w:val="xl90"/>
    <w:basedOn w:val="Normal"/>
    <w:rsid w:val="00874D9E"/>
    <w:pPr>
      <w:pBdr>
        <w:left w:val="single" w:sz="4" w:space="0" w:color="FFFFFF"/>
      </w:pBdr>
      <w:spacing w:before="100" w:beforeAutospacing="1" w:after="100" w:afterAutospacing="1" w:line="240" w:lineRule="auto"/>
      <w:jc w:val="center"/>
    </w:pPr>
    <w:rPr>
      <w:rFonts w:ascii="Times New Roman" w:eastAsia="Times New Roman" w:hAnsi="Times New Roman"/>
      <w:b/>
      <w:bCs/>
      <w:sz w:val="16"/>
      <w:szCs w:val="16"/>
      <w:lang w:eastAsia="es-EC"/>
    </w:rPr>
  </w:style>
  <w:style w:type="paragraph" w:customStyle="1" w:styleId="xl91">
    <w:name w:val="xl91"/>
    <w:basedOn w:val="Normal"/>
    <w:rsid w:val="00874D9E"/>
    <w:pPr>
      <w:spacing w:before="100" w:beforeAutospacing="1" w:after="100" w:afterAutospacing="1" w:line="240" w:lineRule="auto"/>
      <w:jc w:val="center"/>
    </w:pPr>
    <w:rPr>
      <w:rFonts w:ascii="Times New Roman" w:eastAsia="Times New Roman" w:hAnsi="Times New Roman"/>
      <w:b/>
      <w:bCs/>
      <w:sz w:val="16"/>
      <w:szCs w:val="16"/>
      <w:lang w:eastAsia="es-EC"/>
    </w:rPr>
  </w:style>
  <w:style w:type="paragraph" w:customStyle="1" w:styleId="xl92">
    <w:name w:val="xl92"/>
    <w:basedOn w:val="Normal"/>
    <w:rsid w:val="00874D9E"/>
    <w:pPr>
      <w:pBdr>
        <w:left w:val="single" w:sz="4" w:space="0" w:color="FFFFFF"/>
      </w:pBdr>
      <w:spacing w:before="100" w:beforeAutospacing="1" w:after="100" w:afterAutospacing="1" w:line="240" w:lineRule="auto"/>
      <w:jc w:val="center"/>
    </w:pPr>
    <w:rPr>
      <w:rFonts w:ascii="Times New Roman" w:eastAsia="Times New Roman" w:hAnsi="Times New Roman"/>
      <w:b/>
      <w:bCs/>
      <w:color w:val="C65911"/>
      <w:sz w:val="16"/>
      <w:szCs w:val="16"/>
      <w:lang w:eastAsia="es-EC"/>
    </w:rPr>
  </w:style>
  <w:style w:type="paragraph" w:customStyle="1" w:styleId="xl93">
    <w:name w:val="xl93"/>
    <w:basedOn w:val="Normal"/>
    <w:rsid w:val="00874D9E"/>
    <w:pPr>
      <w:spacing w:before="100" w:beforeAutospacing="1" w:after="100" w:afterAutospacing="1" w:line="240" w:lineRule="auto"/>
      <w:jc w:val="center"/>
    </w:pPr>
    <w:rPr>
      <w:rFonts w:ascii="Times New Roman" w:eastAsia="Times New Roman" w:hAnsi="Times New Roman"/>
      <w:b/>
      <w:bCs/>
      <w:color w:val="C65911"/>
      <w:sz w:val="16"/>
      <w:szCs w:val="16"/>
      <w:lang w:eastAsia="es-EC"/>
    </w:rPr>
  </w:style>
  <w:style w:type="paragraph" w:customStyle="1" w:styleId="xl94">
    <w:name w:val="xl94"/>
    <w:basedOn w:val="Normal"/>
    <w:rsid w:val="00874D9E"/>
    <w:pPr>
      <w:pBdr>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b/>
      <w:bCs/>
      <w:sz w:val="16"/>
      <w:szCs w:val="16"/>
      <w:lang w:eastAsia="es-EC"/>
    </w:rPr>
  </w:style>
  <w:style w:type="character" w:customStyle="1" w:styleId="a">
    <w:name w:val="a"/>
    <w:basedOn w:val="Fuentedeprrafopredeter"/>
    <w:rsid w:val="00874D9E"/>
  </w:style>
  <w:style w:type="paragraph" w:customStyle="1" w:styleId="font5">
    <w:name w:val="font5"/>
    <w:basedOn w:val="Normal"/>
    <w:rsid w:val="00874D9E"/>
    <w:pPr>
      <w:spacing w:before="100" w:beforeAutospacing="1" w:after="100" w:afterAutospacing="1" w:line="240" w:lineRule="auto"/>
    </w:pPr>
    <w:rPr>
      <w:rFonts w:ascii="Times New Roman" w:eastAsia="Times New Roman" w:hAnsi="Times New Roman"/>
      <w:sz w:val="16"/>
      <w:szCs w:val="16"/>
      <w:lang w:eastAsia="es-EC"/>
    </w:rPr>
  </w:style>
  <w:style w:type="paragraph" w:customStyle="1" w:styleId="xl95">
    <w:name w:val="xl95"/>
    <w:basedOn w:val="Normal"/>
    <w:rsid w:val="00874D9E"/>
    <w:pPr>
      <w:pBdr>
        <w:top w:val="single" w:sz="4" w:space="0" w:color="auto"/>
      </w:pBdr>
      <w:shd w:val="clear" w:color="000000" w:fill="FFF2CC"/>
      <w:spacing w:before="100" w:beforeAutospacing="1" w:after="100" w:afterAutospacing="1" w:line="240" w:lineRule="auto"/>
    </w:pPr>
    <w:rPr>
      <w:rFonts w:ascii="Times New Roman" w:eastAsia="Times New Roman" w:hAnsi="Times New Roman"/>
      <w:b/>
      <w:bCs/>
      <w:sz w:val="16"/>
      <w:szCs w:val="16"/>
      <w:lang w:eastAsia="es-EC"/>
    </w:rPr>
  </w:style>
  <w:style w:type="paragraph" w:customStyle="1" w:styleId="xl96">
    <w:name w:val="xl96"/>
    <w:basedOn w:val="Normal"/>
    <w:rsid w:val="00874D9E"/>
    <w:pPr>
      <w:pBdr>
        <w:top w:val="single" w:sz="4" w:space="0" w:color="auto"/>
      </w:pBdr>
      <w:shd w:val="clear" w:color="000000" w:fill="FFF2CC"/>
      <w:spacing w:before="100" w:beforeAutospacing="1" w:after="100" w:afterAutospacing="1" w:line="240" w:lineRule="auto"/>
      <w:jc w:val="right"/>
      <w:textAlignment w:val="top"/>
    </w:pPr>
    <w:rPr>
      <w:rFonts w:ascii="Times New Roman" w:eastAsia="Times New Roman" w:hAnsi="Times New Roman"/>
      <w:b/>
      <w:bCs/>
      <w:color w:val="000000"/>
      <w:sz w:val="16"/>
      <w:szCs w:val="16"/>
      <w:lang w:eastAsia="es-EC"/>
    </w:rPr>
  </w:style>
  <w:style w:type="paragraph" w:customStyle="1" w:styleId="xl97">
    <w:name w:val="xl97"/>
    <w:basedOn w:val="Normal"/>
    <w:rsid w:val="00874D9E"/>
    <w:pPr>
      <w:shd w:val="clear" w:color="000000" w:fill="FFF2CC"/>
      <w:spacing w:before="100" w:beforeAutospacing="1" w:after="100" w:afterAutospacing="1" w:line="240" w:lineRule="auto"/>
      <w:textAlignment w:val="top"/>
    </w:pPr>
    <w:rPr>
      <w:rFonts w:ascii="Times New Roman" w:eastAsia="Times New Roman" w:hAnsi="Times New Roman"/>
      <w:b/>
      <w:bCs/>
      <w:sz w:val="16"/>
      <w:szCs w:val="16"/>
      <w:lang w:eastAsia="es-EC"/>
    </w:rPr>
  </w:style>
  <w:style w:type="paragraph" w:customStyle="1" w:styleId="xl98">
    <w:name w:val="xl98"/>
    <w:basedOn w:val="Normal"/>
    <w:rsid w:val="00874D9E"/>
    <w:pPr>
      <w:shd w:val="clear" w:color="000000" w:fill="FFF2CC"/>
      <w:spacing w:before="100" w:beforeAutospacing="1" w:after="100" w:afterAutospacing="1" w:line="240" w:lineRule="auto"/>
    </w:pPr>
    <w:rPr>
      <w:rFonts w:ascii="Times New Roman" w:eastAsia="Times New Roman" w:hAnsi="Times New Roman"/>
      <w:b/>
      <w:bCs/>
      <w:sz w:val="16"/>
      <w:szCs w:val="16"/>
      <w:lang w:eastAsia="es-EC"/>
    </w:rPr>
  </w:style>
  <w:style w:type="paragraph" w:customStyle="1" w:styleId="xl99">
    <w:name w:val="xl99"/>
    <w:basedOn w:val="Normal"/>
    <w:rsid w:val="00874D9E"/>
    <w:pPr>
      <w:shd w:val="clear" w:color="000000" w:fill="FFFFFF"/>
      <w:spacing w:before="100" w:beforeAutospacing="1" w:after="100" w:afterAutospacing="1" w:line="240" w:lineRule="auto"/>
      <w:jc w:val="right"/>
      <w:textAlignment w:val="top"/>
    </w:pPr>
    <w:rPr>
      <w:rFonts w:ascii="Times New Roman" w:eastAsia="Times New Roman" w:hAnsi="Times New Roman"/>
      <w:color w:val="000000"/>
      <w:sz w:val="16"/>
      <w:szCs w:val="16"/>
      <w:lang w:eastAsia="es-EC"/>
    </w:rPr>
  </w:style>
  <w:style w:type="paragraph" w:customStyle="1" w:styleId="xl100">
    <w:name w:val="xl100"/>
    <w:basedOn w:val="Normal"/>
    <w:rsid w:val="00874D9E"/>
    <w:pPr>
      <w:shd w:val="clear" w:color="000000" w:fill="FFFFFF"/>
      <w:spacing w:before="100" w:beforeAutospacing="1" w:after="100" w:afterAutospacing="1" w:line="240" w:lineRule="auto"/>
    </w:pPr>
    <w:rPr>
      <w:rFonts w:ascii="Times New Roman" w:eastAsia="Times New Roman" w:hAnsi="Times New Roman"/>
      <w:sz w:val="16"/>
      <w:szCs w:val="16"/>
      <w:lang w:eastAsia="es-EC"/>
    </w:rPr>
  </w:style>
  <w:style w:type="paragraph" w:customStyle="1" w:styleId="xl101">
    <w:name w:val="xl101"/>
    <w:basedOn w:val="Normal"/>
    <w:rsid w:val="00874D9E"/>
    <w:pPr>
      <w:pBdr>
        <w:top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b/>
      <w:bCs/>
      <w:sz w:val="16"/>
      <w:szCs w:val="16"/>
      <w:lang w:eastAsia="es-EC"/>
    </w:rPr>
  </w:style>
  <w:style w:type="paragraph" w:customStyle="1" w:styleId="xl102">
    <w:name w:val="xl102"/>
    <w:basedOn w:val="Normal"/>
    <w:rsid w:val="00874D9E"/>
    <w:pPr>
      <w:shd w:val="clear" w:color="000000" w:fill="FFFFFF"/>
      <w:spacing w:before="100" w:beforeAutospacing="1" w:after="100" w:afterAutospacing="1" w:line="240" w:lineRule="auto"/>
      <w:jc w:val="right"/>
      <w:textAlignment w:val="top"/>
    </w:pPr>
    <w:rPr>
      <w:rFonts w:ascii="Times New Roman" w:eastAsia="Times New Roman" w:hAnsi="Times New Roman"/>
      <w:sz w:val="16"/>
      <w:szCs w:val="16"/>
      <w:lang w:eastAsia="es-EC"/>
    </w:rPr>
  </w:style>
  <w:style w:type="paragraph" w:customStyle="1" w:styleId="xl103">
    <w:name w:val="xl103"/>
    <w:basedOn w:val="Normal"/>
    <w:rsid w:val="00874D9E"/>
    <w:pPr>
      <w:shd w:val="clear" w:color="000000" w:fill="FFE699"/>
      <w:spacing w:before="100" w:beforeAutospacing="1" w:after="100" w:afterAutospacing="1" w:line="240" w:lineRule="auto"/>
      <w:jc w:val="center"/>
    </w:pPr>
    <w:rPr>
      <w:rFonts w:ascii="Times New Roman" w:eastAsia="Times New Roman" w:hAnsi="Times New Roman"/>
      <w:b/>
      <w:bCs/>
      <w:sz w:val="16"/>
      <w:szCs w:val="16"/>
      <w:lang w:eastAsia="es-EC"/>
    </w:rPr>
  </w:style>
  <w:style w:type="paragraph" w:customStyle="1" w:styleId="xl104">
    <w:name w:val="xl104"/>
    <w:basedOn w:val="Normal"/>
    <w:rsid w:val="00874D9E"/>
    <w:pPr>
      <w:pBdr>
        <w:left w:val="single" w:sz="4" w:space="0" w:color="FFFFFF"/>
      </w:pBdr>
      <w:spacing w:before="100" w:beforeAutospacing="1" w:after="100" w:afterAutospacing="1" w:line="240" w:lineRule="auto"/>
      <w:jc w:val="center"/>
    </w:pPr>
    <w:rPr>
      <w:rFonts w:ascii="Times New Roman" w:eastAsia="Times New Roman" w:hAnsi="Times New Roman"/>
      <w:b/>
      <w:bCs/>
      <w:color w:val="0070C0"/>
      <w:sz w:val="16"/>
      <w:szCs w:val="16"/>
      <w:lang w:eastAsia="es-EC"/>
    </w:rPr>
  </w:style>
  <w:style w:type="paragraph" w:customStyle="1" w:styleId="xl105">
    <w:name w:val="xl105"/>
    <w:basedOn w:val="Normal"/>
    <w:rsid w:val="00874D9E"/>
    <w:pPr>
      <w:spacing w:before="100" w:beforeAutospacing="1" w:after="100" w:afterAutospacing="1" w:line="240" w:lineRule="auto"/>
      <w:jc w:val="center"/>
    </w:pPr>
    <w:rPr>
      <w:rFonts w:ascii="Times New Roman" w:eastAsia="Times New Roman" w:hAnsi="Times New Roman"/>
      <w:b/>
      <w:bCs/>
      <w:color w:val="0070C0"/>
      <w:sz w:val="16"/>
      <w:szCs w:val="16"/>
      <w:lang w:eastAsia="es-EC"/>
    </w:rPr>
  </w:style>
  <w:style w:type="paragraph" w:customStyle="1" w:styleId="xl106">
    <w:name w:val="xl106"/>
    <w:basedOn w:val="Normal"/>
    <w:rsid w:val="00874D9E"/>
    <w:pPr>
      <w:pBdr>
        <w:left w:val="single" w:sz="4" w:space="0" w:color="FFFFFF"/>
      </w:pBdr>
      <w:spacing w:before="100" w:beforeAutospacing="1" w:after="100" w:afterAutospacing="1" w:line="240" w:lineRule="auto"/>
      <w:jc w:val="center"/>
    </w:pPr>
    <w:rPr>
      <w:rFonts w:ascii="Times New Roman" w:eastAsia="Times New Roman" w:hAnsi="Times New Roman"/>
      <w:b/>
      <w:bCs/>
      <w:sz w:val="16"/>
      <w:szCs w:val="16"/>
      <w:lang w:eastAsia="es-EC"/>
    </w:rPr>
  </w:style>
  <w:style w:type="paragraph" w:customStyle="1" w:styleId="xl107">
    <w:name w:val="xl107"/>
    <w:basedOn w:val="Normal"/>
    <w:rsid w:val="00874D9E"/>
    <w:pPr>
      <w:spacing w:before="100" w:beforeAutospacing="1" w:after="100" w:afterAutospacing="1" w:line="240" w:lineRule="auto"/>
      <w:jc w:val="center"/>
    </w:pPr>
    <w:rPr>
      <w:rFonts w:ascii="Times New Roman" w:eastAsia="Times New Roman" w:hAnsi="Times New Roman"/>
      <w:b/>
      <w:bCs/>
      <w:sz w:val="16"/>
      <w:szCs w:val="16"/>
      <w:lang w:eastAsia="es-EC"/>
    </w:rPr>
  </w:style>
  <w:style w:type="paragraph" w:customStyle="1" w:styleId="xl108">
    <w:name w:val="xl108"/>
    <w:basedOn w:val="Normal"/>
    <w:rsid w:val="00874D9E"/>
    <w:pPr>
      <w:pBdr>
        <w:left w:val="single" w:sz="4" w:space="0" w:color="FFFFFF"/>
      </w:pBdr>
      <w:spacing w:before="100" w:beforeAutospacing="1" w:after="100" w:afterAutospacing="1" w:line="240" w:lineRule="auto"/>
      <w:jc w:val="center"/>
    </w:pPr>
    <w:rPr>
      <w:rFonts w:ascii="Times New Roman" w:eastAsia="Times New Roman" w:hAnsi="Times New Roman"/>
      <w:b/>
      <w:bCs/>
      <w:color w:val="C65911"/>
      <w:sz w:val="16"/>
      <w:szCs w:val="16"/>
      <w:lang w:eastAsia="es-EC"/>
    </w:rPr>
  </w:style>
  <w:style w:type="paragraph" w:customStyle="1" w:styleId="xl109">
    <w:name w:val="xl109"/>
    <w:basedOn w:val="Normal"/>
    <w:rsid w:val="00874D9E"/>
    <w:pPr>
      <w:spacing w:before="100" w:beforeAutospacing="1" w:after="100" w:afterAutospacing="1" w:line="240" w:lineRule="auto"/>
      <w:jc w:val="center"/>
    </w:pPr>
    <w:rPr>
      <w:rFonts w:ascii="Times New Roman" w:eastAsia="Times New Roman" w:hAnsi="Times New Roman"/>
      <w:b/>
      <w:bCs/>
      <w:color w:val="C65911"/>
      <w:sz w:val="16"/>
      <w:szCs w:val="16"/>
      <w:lang w:eastAsia="es-EC"/>
    </w:rPr>
  </w:style>
  <w:style w:type="paragraph" w:customStyle="1" w:styleId="xl110">
    <w:name w:val="xl110"/>
    <w:basedOn w:val="Normal"/>
    <w:rsid w:val="00874D9E"/>
    <w:pPr>
      <w:pBdr>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b/>
      <w:bCs/>
      <w:sz w:val="16"/>
      <w:szCs w:val="16"/>
      <w:lang w:eastAsia="es-EC"/>
    </w:rPr>
  </w:style>
  <w:style w:type="paragraph" w:customStyle="1" w:styleId="xl111">
    <w:name w:val="xl111"/>
    <w:basedOn w:val="Normal"/>
    <w:rsid w:val="00874D9E"/>
    <w:pPr>
      <w:pBdr>
        <w:top w:val="single" w:sz="4" w:space="0" w:color="auto"/>
      </w:pBdr>
      <w:shd w:val="clear" w:color="000000" w:fill="F8CBAD"/>
      <w:spacing w:before="100" w:beforeAutospacing="1" w:after="100" w:afterAutospacing="1" w:line="240" w:lineRule="auto"/>
      <w:jc w:val="right"/>
      <w:textAlignment w:val="center"/>
    </w:pPr>
    <w:rPr>
      <w:rFonts w:ascii="Times New Roman" w:eastAsia="Times New Roman" w:hAnsi="Times New Roman"/>
      <w:b/>
      <w:bCs/>
      <w:sz w:val="16"/>
      <w:szCs w:val="16"/>
      <w:lang w:eastAsia="es-EC"/>
    </w:rPr>
  </w:style>
  <w:style w:type="paragraph" w:customStyle="1" w:styleId="xl112">
    <w:name w:val="xl112"/>
    <w:basedOn w:val="Normal"/>
    <w:rsid w:val="00874D9E"/>
    <w:pPr>
      <w:pBdr>
        <w:bottom w:val="single" w:sz="4" w:space="0" w:color="auto"/>
      </w:pBdr>
      <w:shd w:val="clear" w:color="000000" w:fill="F8CBAD"/>
      <w:spacing w:before="100" w:beforeAutospacing="1" w:after="100" w:afterAutospacing="1" w:line="240" w:lineRule="auto"/>
      <w:jc w:val="right"/>
      <w:textAlignment w:val="center"/>
    </w:pPr>
    <w:rPr>
      <w:rFonts w:ascii="Times New Roman" w:eastAsia="Times New Roman" w:hAnsi="Times New Roman"/>
      <w:b/>
      <w:bCs/>
      <w:sz w:val="16"/>
      <w:szCs w:val="16"/>
      <w:lang w:eastAsia="es-EC"/>
    </w:rPr>
  </w:style>
  <w:style w:type="paragraph" w:styleId="Tabladeilustraciones">
    <w:name w:val="table of figures"/>
    <w:basedOn w:val="Normal"/>
    <w:next w:val="Normal"/>
    <w:uiPriority w:val="99"/>
    <w:unhideWhenUsed/>
    <w:rsid w:val="00874D9E"/>
    <w:pPr>
      <w:spacing w:after="0" w:line="360" w:lineRule="auto"/>
      <w:ind w:firstLine="720"/>
    </w:pPr>
    <w:rPr>
      <w:rFonts w:ascii="Times New Roman" w:hAnsi="Times New Roman"/>
      <w:sz w:val="24"/>
      <w:lang w:val="es-ES"/>
    </w:rPr>
  </w:style>
  <w:style w:type="paragraph" w:styleId="TDC4">
    <w:name w:val="toc 4"/>
    <w:basedOn w:val="Normal"/>
    <w:next w:val="Normal"/>
    <w:autoRedefine/>
    <w:uiPriority w:val="39"/>
    <w:unhideWhenUsed/>
    <w:rsid w:val="00874D9E"/>
    <w:pPr>
      <w:spacing w:after="0" w:line="360" w:lineRule="auto"/>
      <w:ind w:left="2160"/>
    </w:pPr>
    <w:rPr>
      <w:rFonts w:ascii="Times New Roman" w:hAnsi="Times New Roman"/>
      <w:sz w:val="24"/>
      <w:lang w:val="es-ES"/>
    </w:rPr>
  </w:style>
  <w:style w:type="paragraph" w:styleId="TDC5">
    <w:name w:val="toc 5"/>
    <w:basedOn w:val="Normal"/>
    <w:next w:val="Normal"/>
    <w:autoRedefine/>
    <w:uiPriority w:val="39"/>
    <w:unhideWhenUsed/>
    <w:rsid w:val="00874D9E"/>
    <w:pPr>
      <w:spacing w:after="0" w:line="360" w:lineRule="auto"/>
      <w:ind w:left="2880"/>
    </w:pPr>
    <w:rPr>
      <w:rFonts w:ascii="Times New Roman" w:hAnsi="Times New Roman"/>
      <w:sz w:val="24"/>
      <w:lang w:val="es-ES"/>
    </w:rPr>
  </w:style>
  <w:style w:type="paragraph" w:customStyle="1" w:styleId="xl113">
    <w:name w:val="xl113"/>
    <w:basedOn w:val="Normal"/>
    <w:rsid w:val="00874D9E"/>
    <w:pPr>
      <w:pBdr>
        <w:top w:val="single" w:sz="4" w:space="0" w:color="auto"/>
      </w:pBdr>
      <w:shd w:val="clear" w:color="000000" w:fill="FCE4D6"/>
      <w:spacing w:before="100" w:beforeAutospacing="1" w:after="100" w:afterAutospacing="1" w:line="240" w:lineRule="auto"/>
    </w:pPr>
    <w:rPr>
      <w:rFonts w:ascii="Times New Roman" w:eastAsia="Times New Roman" w:hAnsi="Times New Roman"/>
      <w:sz w:val="20"/>
      <w:szCs w:val="20"/>
      <w:lang w:eastAsia="es-EC"/>
    </w:rPr>
  </w:style>
  <w:style w:type="paragraph" w:customStyle="1" w:styleId="xl114">
    <w:name w:val="xl114"/>
    <w:basedOn w:val="Normal"/>
    <w:rsid w:val="00874D9E"/>
    <w:pPr>
      <w:pBdr>
        <w:top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b/>
      <w:bCs/>
      <w:sz w:val="20"/>
      <w:szCs w:val="20"/>
      <w:lang w:eastAsia="es-EC"/>
    </w:rPr>
  </w:style>
  <w:style w:type="paragraph" w:customStyle="1" w:styleId="xl115">
    <w:name w:val="xl115"/>
    <w:basedOn w:val="Normal"/>
    <w:rsid w:val="00874D9E"/>
    <w:pPr>
      <w:pBdr>
        <w:top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b/>
      <w:bCs/>
      <w:color w:val="000000"/>
      <w:sz w:val="20"/>
      <w:szCs w:val="20"/>
      <w:lang w:eastAsia="es-EC"/>
    </w:rPr>
  </w:style>
  <w:style w:type="paragraph" w:customStyle="1" w:styleId="xl116">
    <w:name w:val="xl116"/>
    <w:basedOn w:val="Normal"/>
    <w:rsid w:val="00874D9E"/>
    <w:pPr>
      <w:pBdr>
        <w:top w:val="single" w:sz="4" w:space="0" w:color="auto"/>
      </w:pBdr>
      <w:shd w:val="clear" w:color="000000" w:fill="FCE4D6"/>
      <w:spacing w:before="100" w:beforeAutospacing="1" w:after="100" w:afterAutospacing="1" w:line="240" w:lineRule="auto"/>
      <w:jc w:val="right"/>
      <w:textAlignment w:val="top"/>
    </w:pPr>
    <w:rPr>
      <w:rFonts w:ascii="Times New Roman" w:eastAsia="Times New Roman" w:hAnsi="Times New Roman"/>
      <w:b/>
      <w:bCs/>
      <w:sz w:val="20"/>
      <w:szCs w:val="20"/>
      <w:lang w:eastAsia="es-EC"/>
    </w:rPr>
  </w:style>
  <w:style w:type="paragraph" w:customStyle="1" w:styleId="xl117">
    <w:name w:val="xl117"/>
    <w:basedOn w:val="Normal"/>
    <w:rsid w:val="00874D9E"/>
    <w:pPr>
      <w:pBdr>
        <w:top w:val="single" w:sz="4" w:space="0" w:color="auto"/>
      </w:pBdr>
      <w:shd w:val="clear" w:color="000000" w:fill="FCE4D6"/>
      <w:spacing w:before="100" w:beforeAutospacing="1" w:after="100" w:afterAutospacing="1" w:line="240" w:lineRule="auto"/>
    </w:pPr>
    <w:rPr>
      <w:rFonts w:ascii="Times New Roman" w:eastAsia="Times New Roman" w:hAnsi="Times New Roman"/>
      <w:b/>
      <w:bCs/>
      <w:sz w:val="20"/>
      <w:szCs w:val="20"/>
      <w:lang w:eastAsia="es-EC"/>
    </w:rPr>
  </w:style>
  <w:style w:type="paragraph" w:customStyle="1" w:styleId="xl118">
    <w:name w:val="xl118"/>
    <w:basedOn w:val="Normal"/>
    <w:rsid w:val="00874D9E"/>
    <w:pPr>
      <w:pBdr>
        <w:top w:val="single" w:sz="4" w:space="0" w:color="auto"/>
      </w:pBdr>
      <w:shd w:val="clear" w:color="000000" w:fill="FCE4D6"/>
      <w:spacing w:before="100" w:beforeAutospacing="1" w:after="100" w:afterAutospacing="1" w:line="240" w:lineRule="auto"/>
      <w:jc w:val="right"/>
      <w:textAlignment w:val="top"/>
    </w:pPr>
    <w:rPr>
      <w:rFonts w:ascii="Times New Roman" w:eastAsia="Times New Roman" w:hAnsi="Times New Roman"/>
      <w:b/>
      <w:bCs/>
      <w:color w:val="000000"/>
      <w:sz w:val="20"/>
      <w:szCs w:val="20"/>
      <w:lang w:eastAsia="es-EC"/>
    </w:rPr>
  </w:style>
  <w:style w:type="paragraph" w:customStyle="1" w:styleId="xl119">
    <w:name w:val="xl119"/>
    <w:basedOn w:val="Normal"/>
    <w:rsid w:val="00874D9E"/>
    <w:pPr>
      <w:pBdr>
        <w:top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20"/>
      <w:szCs w:val="20"/>
      <w:lang w:eastAsia="es-EC"/>
    </w:rPr>
  </w:style>
  <w:style w:type="paragraph" w:customStyle="1" w:styleId="xl120">
    <w:name w:val="xl120"/>
    <w:basedOn w:val="Normal"/>
    <w:rsid w:val="00874D9E"/>
    <w:pPr>
      <w:pBdr>
        <w:top w:val="single" w:sz="4" w:space="0" w:color="auto"/>
      </w:pBdr>
      <w:shd w:val="clear" w:color="000000" w:fill="FCE4D6"/>
      <w:spacing w:before="100" w:beforeAutospacing="1" w:after="100" w:afterAutospacing="1" w:line="240" w:lineRule="auto"/>
      <w:jc w:val="right"/>
    </w:pPr>
    <w:rPr>
      <w:rFonts w:ascii="Times New Roman" w:eastAsia="Times New Roman" w:hAnsi="Times New Roman"/>
      <w:b/>
      <w:bCs/>
      <w:sz w:val="20"/>
      <w:szCs w:val="20"/>
      <w:lang w:eastAsia="es-EC"/>
    </w:rPr>
  </w:style>
  <w:style w:type="paragraph" w:customStyle="1" w:styleId="xl121">
    <w:name w:val="xl121"/>
    <w:basedOn w:val="Normal"/>
    <w:rsid w:val="00874D9E"/>
    <w:pPr>
      <w:pBdr>
        <w:top w:val="single" w:sz="4" w:space="0" w:color="auto"/>
      </w:pBdr>
      <w:shd w:val="clear" w:color="000000" w:fill="FCE4D6"/>
      <w:spacing w:before="100" w:beforeAutospacing="1" w:after="100" w:afterAutospacing="1" w:line="240" w:lineRule="auto"/>
    </w:pPr>
    <w:rPr>
      <w:rFonts w:ascii="Times New Roman" w:eastAsia="Times New Roman" w:hAnsi="Times New Roman"/>
      <w:b/>
      <w:bCs/>
      <w:sz w:val="20"/>
      <w:szCs w:val="20"/>
      <w:lang w:eastAsia="es-EC"/>
    </w:rPr>
  </w:style>
  <w:style w:type="paragraph" w:customStyle="1" w:styleId="xl122">
    <w:name w:val="xl122"/>
    <w:basedOn w:val="Normal"/>
    <w:rsid w:val="00874D9E"/>
    <w:pPr>
      <w:spacing w:before="100" w:beforeAutospacing="1" w:after="100" w:afterAutospacing="1" w:line="240" w:lineRule="auto"/>
    </w:pPr>
    <w:rPr>
      <w:rFonts w:ascii="Times New Roman" w:eastAsia="Times New Roman" w:hAnsi="Times New Roman"/>
      <w:b/>
      <w:bCs/>
      <w:sz w:val="24"/>
      <w:szCs w:val="24"/>
      <w:lang w:eastAsia="es-EC"/>
    </w:rPr>
  </w:style>
  <w:style w:type="paragraph" w:customStyle="1" w:styleId="xl123">
    <w:name w:val="xl123"/>
    <w:basedOn w:val="Normal"/>
    <w:rsid w:val="00874D9E"/>
    <w:pPr>
      <w:shd w:val="clear" w:color="000000" w:fill="A9D08E"/>
      <w:spacing w:before="100" w:beforeAutospacing="1" w:after="100" w:afterAutospacing="1" w:line="240" w:lineRule="auto"/>
    </w:pPr>
    <w:rPr>
      <w:rFonts w:ascii="Times New Roman" w:eastAsia="Times New Roman" w:hAnsi="Times New Roman"/>
      <w:b/>
      <w:bCs/>
      <w:sz w:val="20"/>
      <w:szCs w:val="20"/>
      <w:lang w:eastAsia="es-EC"/>
    </w:rPr>
  </w:style>
  <w:style w:type="paragraph" w:customStyle="1" w:styleId="xl124">
    <w:name w:val="xl124"/>
    <w:basedOn w:val="Normal"/>
    <w:rsid w:val="00874D9E"/>
    <w:pPr>
      <w:shd w:val="clear" w:color="000000" w:fill="A9D08E"/>
      <w:spacing w:before="100" w:beforeAutospacing="1" w:after="100" w:afterAutospacing="1" w:line="240" w:lineRule="auto"/>
    </w:pPr>
    <w:rPr>
      <w:rFonts w:ascii="Times New Roman" w:eastAsia="Times New Roman" w:hAnsi="Times New Roman"/>
      <w:b/>
      <w:bCs/>
      <w:sz w:val="20"/>
      <w:szCs w:val="20"/>
      <w:lang w:eastAsia="es-EC"/>
    </w:rPr>
  </w:style>
  <w:style w:type="paragraph" w:customStyle="1" w:styleId="xl125">
    <w:name w:val="xl125"/>
    <w:basedOn w:val="Normal"/>
    <w:rsid w:val="00874D9E"/>
    <w:pPr>
      <w:pBdr>
        <w:left w:val="single" w:sz="4" w:space="0" w:color="FFFFFF"/>
      </w:pBdr>
      <w:spacing w:before="100" w:beforeAutospacing="1" w:after="100" w:afterAutospacing="1" w:line="240" w:lineRule="auto"/>
      <w:jc w:val="center"/>
    </w:pPr>
    <w:rPr>
      <w:rFonts w:ascii="Times New Roman" w:eastAsia="Times New Roman" w:hAnsi="Times New Roman"/>
      <w:b/>
      <w:bCs/>
      <w:color w:val="0070C0"/>
      <w:sz w:val="20"/>
      <w:szCs w:val="20"/>
      <w:lang w:eastAsia="es-EC"/>
    </w:rPr>
  </w:style>
  <w:style w:type="paragraph" w:customStyle="1" w:styleId="xl126">
    <w:name w:val="xl126"/>
    <w:basedOn w:val="Normal"/>
    <w:rsid w:val="00874D9E"/>
    <w:pPr>
      <w:spacing w:before="100" w:beforeAutospacing="1" w:after="100" w:afterAutospacing="1" w:line="240" w:lineRule="auto"/>
      <w:jc w:val="center"/>
    </w:pPr>
    <w:rPr>
      <w:rFonts w:ascii="Times New Roman" w:eastAsia="Times New Roman" w:hAnsi="Times New Roman"/>
      <w:b/>
      <w:bCs/>
      <w:color w:val="0070C0"/>
      <w:sz w:val="20"/>
      <w:szCs w:val="20"/>
      <w:lang w:eastAsia="es-EC"/>
    </w:rPr>
  </w:style>
  <w:style w:type="paragraph" w:customStyle="1" w:styleId="xl127">
    <w:name w:val="xl127"/>
    <w:basedOn w:val="Normal"/>
    <w:rsid w:val="00874D9E"/>
    <w:pPr>
      <w:pBdr>
        <w:left w:val="single" w:sz="4" w:space="0" w:color="FFFFFF"/>
      </w:pBdr>
      <w:spacing w:before="100" w:beforeAutospacing="1" w:after="100" w:afterAutospacing="1" w:line="240" w:lineRule="auto"/>
      <w:jc w:val="center"/>
    </w:pPr>
    <w:rPr>
      <w:rFonts w:ascii="Times New Roman" w:eastAsia="Times New Roman" w:hAnsi="Times New Roman"/>
      <w:b/>
      <w:bCs/>
      <w:color w:val="00B050"/>
      <w:sz w:val="20"/>
      <w:szCs w:val="20"/>
      <w:lang w:eastAsia="es-EC"/>
    </w:rPr>
  </w:style>
  <w:style w:type="paragraph" w:customStyle="1" w:styleId="xl128">
    <w:name w:val="xl128"/>
    <w:basedOn w:val="Normal"/>
    <w:rsid w:val="00874D9E"/>
    <w:pPr>
      <w:spacing w:before="100" w:beforeAutospacing="1" w:after="100" w:afterAutospacing="1" w:line="240" w:lineRule="auto"/>
      <w:jc w:val="center"/>
    </w:pPr>
    <w:rPr>
      <w:rFonts w:ascii="Times New Roman" w:eastAsia="Times New Roman" w:hAnsi="Times New Roman"/>
      <w:b/>
      <w:bCs/>
      <w:color w:val="00B050"/>
      <w:sz w:val="20"/>
      <w:szCs w:val="20"/>
      <w:lang w:eastAsia="es-EC"/>
    </w:rPr>
  </w:style>
  <w:style w:type="paragraph" w:customStyle="1" w:styleId="xl129">
    <w:name w:val="xl129"/>
    <w:basedOn w:val="Normal"/>
    <w:rsid w:val="00874D9E"/>
    <w:pPr>
      <w:shd w:val="clear" w:color="000000" w:fill="D9E1F2"/>
      <w:spacing w:before="100" w:beforeAutospacing="1" w:after="100" w:afterAutospacing="1" w:line="240" w:lineRule="auto"/>
      <w:jc w:val="center"/>
    </w:pPr>
    <w:rPr>
      <w:rFonts w:ascii="Times New Roman" w:eastAsia="Times New Roman" w:hAnsi="Times New Roman"/>
      <w:b/>
      <w:bCs/>
      <w:sz w:val="20"/>
      <w:szCs w:val="20"/>
      <w:lang w:eastAsia="es-EC"/>
    </w:rPr>
  </w:style>
  <w:style w:type="paragraph" w:customStyle="1" w:styleId="xl130">
    <w:name w:val="xl130"/>
    <w:basedOn w:val="Normal"/>
    <w:rsid w:val="00874D9E"/>
    <w:pPr>
      <w:pBdr>
        <w:left w:val="single" w:sz="4" w:space="0" w:color="FFFFFF"/>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es-EC"/>
    </w:rPr>
  </w:style>
  <w:style w:type="paragraph" w:customStyle="1" w:styleId="xl131">
    <w:name w:val="xl131"/>
    <w:basedOn w:val="Normal"/>
    <w:rsid w:val="00874D9E"/>
    <w:pPr>
      <w:pBdr>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es-EC"/>
    </w:rPr>
  </w:style>
  <w:style w:type="table" w:customStyle="1" w:styleId="Tabladecuadrcula1clara-nfasis41">
    <w:name w:val="Tabla de cuadrícula 1 clara - Énfasis 41"/>
    <w:basedOn w:val="Tablanormal"/>
    <w:next w:val="Tablaconcuadrcula1clara-nfasis4"/>
    <w:uiPriority w:val="46"/>
    <w:rsid w:val="00874D9E"/>
    <w:rPr>
      <w:sz w:val="22"/>
      <w:szCs w:val="22"/>
      <w:lang w:val="es-ES"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adecuadrcula5oscura-nfasis31">
    <w:name w:val="Tabla de cuadrícula 5 oscura - Énfasis 31"/>
    <w:basedOn w:val="Tablanormal"/>
    <w:next w:val="Tablaconcuadrcula5oscura-nfasis3"/>
    <w:uiPriority w:val="50"/>
    <w:rsid w:val="00874D9E"/>
    <w:rPr>
      <w:sz w:val="22"/>
      <w:szCs w:val="22"/>
      <w:lang w:val="es-E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5oscura-nfasis51">
    <w:name w:val="Tabla de cuadrícula 5 oscura - Énfasis 51"/>
    <w:basedOn w:val="Tablanormal"/>
    <w:next w:val="Tablaconcuadrcula5oscura-nfasis5"/>
    <w:uiPriority w:val="50"/>
    <w:rsid w:val="00874D9E"/>
    <w:rPr>
      <w:sz w:val="22"/>
      <w:szCs w:val="22"/>
      <w:lang w:val="es-E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4-nfasis311">
    <w:name w:val="Tabla de cuadrícula 4 - Énfasis 311"/>
    <w:basedOn w:val="Tablanormal"/>
    <w:next w:val="Tablaconcuadrcula4-nfasis3"/>
    <w:uiPriority w:val="49"/>
    <w:rsid w:val="00874D9E"/>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32">
    <w:name w:val="Tabla de cuadrícula 4 - Énfasis 32"/>
    <w:basedOn w:val="Tablanormal"/>
    <w:next w:val="Tablaconcuadrcula4-nfasis3"/>
    <w:uiPriority w:val="49"/>
    <w:rsid w:val="00874D9E"/>
    <w:rPr>
      <w:sz w:val="22"/>
      <w:szCs w:val="22"/>
      <w:lang w:val="es-E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DC6">
    <w:name w:val="toc 6"/>
    <w:basedOn w:val="Normal"/>
    <w:next w:val="Normal"/>
    <w:autoRedefine/>
    <w:uiPriority w:val="39"/>
    <w:unhideWhenUsed/>
    <w:rsid w:val="00874D9E"/>
    <w:pPr>
      <w:spacing w:after="100"/>
      <w:ind w:left="1100"/>
    </w:pPr>
    <w:rPr>
      <w:rFonts w:eastAsia="Times New Roman"/>
      <w:lang w:eastAsia="es-EC"/>
    </w:rPr>
  </w:style>
  <w:style w:type="paragraph" w:styleId="TDC7">
    <w:name w:val="toc 7"/>
    <w:basedOn w:val="Normal"/>
    <w:next w:val="Normal"/>
    <w:autoRedefine/>
    <w:uiPriority w:val="39"/>
    <w:unhideWhenUsed/>
    <w:rsid w:val="00874D9E"/>
    <w:pPr>
      <w:spacing w:after="100"/>
      <w:ind w:left="1320"/>
    </w:pPr>
    <w:rPr>
      <w:rFonts w:eastAsia="Times New Roman"/>
      <w:lang w:eastAsia="es-EC"/>
    </w:rPr>
  </w:style>
  <w:style w:type="paragraph" w:styleId="TDC8">
    <w:name w:val="toc 8"/>
    <w:basedOn w:val="Normal"/>
    <w:next w:val="Normal"/>
    <w:autoRedefine/>
    <w:uiPriority w:val="39"/>
    <w:unhideWhenUsed/>
    <w:rsid w:val="00874D9E"/>
    <w:pPr>
      <w:spacing w:after="100"/>
      <w:ind w:left="1540"/>
    </w:pPr>
    <w:rPr>
      <w:rFonts w:eastAsia="Times New Roman"/>
      <w:lang w:eastAsia="es-EC"/>
    </w:rPr>
  </w:style>
  <w:style w:type="paragraph" w:styleId="TDC9">
    <w:name w:val="toc 9"/>
    <w:basedOn w:val="Normal"/>
    <w:next w:val="Normal"/>
    <w:autoRedefine/>
    <w:uiPriority w:val="39"/>
    <w:unhideWhenUsed/>
    <w:rsid w:val="00874D9E"/>
    <w:pPr>
      <w:spacing w:after="100"/>
      <w:ind w:left="1760"/>
    </w:pPr>
    <w:rPr>
      <w:rFonts w:eastAsia="Times New Roman"/>
      <w:lang w:eastAsia="es-EC"/>
    </w:rPr>
  </w:style>
  <w:style w:type="paragraph" w:customStyle="1" w:styleId="xl132">
    <w:name w:val="xl132"/>
    <w:basedOn w:val="Normal"/>
    <w:rsid w:val="00874D9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000000"/>
      <w:sz w:val="20"/>
      <w:szCs w:val="20"/>
      <w:lang w:eastAsia="es-EC"/>
    </w:rPr>
  </w:style>
  <w:style w:type="paragraph" w:customStyle="1" w:styleId="xl133">
    <w:name w:val="xl133"/>
    <w:basedOn w:val="Normal"/>
    <w:rsid w:val="00874D9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134">
    <w:name w:val="xl134"/>
    <w:basedOn w:val="Normal"/>
    <w:rsid w:val="00874D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lang w:eastAsia="es-EC"/>
    </w:rPr>
  </w:style>
  <w:style w:type="paragraph" w:customStyle="1" w:styleId="xl135">
    <w:name w:val="xl135"/>
    <w:basedOn w:val="Normal"/>
    <w:rsid w:val="00874D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000000"/>
      <w:sz w:val="20"/>
      <w:szCs w:val="20"/>
      <w:lang w:eastAsia="es-EC"/>
    </w:rPr>
  </w:style>
  <w:style w:type="paragraph" w:customStyle="1" w:styleId="xl136">
    <w:name w:val="xl136"/>
    <w:basedOn w:val="Normal"/>
    <w:rsid w:val="00874D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lang w:eastAsia="es-EC"/>
    </w:rPr>
  </w:style>
  <w:style w:type="paragraph" w:customStyle="1" w:styleId="xl137">
    <w:name w:val="xl137"/>
    <w:basedOn w:val="Normal"/>
    <w:rsid w:val="00874D9E"/>
    <w:pPr>
      <w:spacing w:before="100" w:beforeAutospacing="1" w:after="100" w:afterAutospacing="1" w:line="240" w:lineRule="auto"/>
    </w:pPr>
    <w:rPr>
      <w:rFonts w:ascii="Arial Narrow" w:eastAsia="Times New Roman" w:hAnsi="Arial Narrow"/>
      <w:sz w:val="20"/>
      <w:szCs w:val="20"/>
      <w:lang w:eastAsia="es-EC"/>
    </w:rPr>
  </w:style>
  <w:style w:type="paragraph" w:customStyle="1" w:styleId="xl138">
    <w:name w:val="xl138"/>
    <w:basedOn w:val="Normal"/>
    <w:rsid w:val="00874D9E"/>
    <w:pPr>
      <w:pBdr>
        <w:top w:val="single" w:sz="8" w:space="0" w:color="auto"/>
        <w:bottom w:val="single" w:sz="8"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139">
    <w:name w:val="xl139"/>
    <w:basedOn w:val="Normal"/>
    <w:rsid w:val="00874D9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140">
    <w:name w:val="xl140"/>
    <w:basedOn w:val="Normal"/>
    <w:rsid w:val="00874D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41">
    <w:name w:val="xl141"/>
    <w:basedOn w:val="Normal"/>
    <w:rsid w:val="00874D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42">
    <w:name w:val="xl142"/>
    <w:basedOn w:val="Normal"/>
    <w:rsid w:val="00874D9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43">
    <w:name w:val="xl143"/>
    <w:basedOn w:val="Normal"/>
    <w:rsid w:val="00874D9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44">
    <w:name w:val="xl144"/>
    <w:basedOn w:val="Normal"/>
    <w:rsid w:val="00874D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es-EC"/>
    </w:rPr>
  </w:style>
  <w:style w:type="paragraph" w:customStyle="1" w:styleId="xl145">
    <w:name w:val="xl145"/>
    <w:basedOn w:val="Normal"/>
    <w:rsid w:val="00874D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46">
    <w:name w:val="xl146"/>
    <w:basedOn w:val="Normal"/>
    <w:rsid w:val="00874D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47">
    <w:name w:val="xl147"/>
    <w:basedOn w:val="Normal"/>
    <w:rsid w:val="00874D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EC"/>
    </w:rPr>
  </w:style>
  <w:style w:type="paragraph" w:customStyle="1" w:styleId="xl148">
    <w:name w:val="xl148"/>
    <w:basedOn w:val="Normal"/>
    <w:rsid w:val="00874D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49">
    <w:name w:val="xl149"/>
    <w:basedOn w:val="Normal"/>
    <w:rsid w:val="00874D9E"/>
    <w:pPr>
      <w:pBdr>
        <w:bottom w:val="single" w:sz="4"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b/>
      <w:bCs/>
      <w:sz w:val="32"/>
      <w:szCs w:val="32"/>
      <w:lang w:eastAsia="es-EC"/>
    </w:rPr>
  </w:style>
  <w:style w:type="paragraph" w:customStyle="1" w:styleId="xl150">
    <w:name w:val="xl150"/>
    <w:basedOn w:val="Normal"/>
    <w:rsid w:val="00874D9E"/>
    <w:pPr>
      <w:pBdr>
        <w:bottom w:val="single" w:sz="4"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151">
    <w:name w:val="xl151"/>
    <w:basedOn w:val="Normal"/>
    <w:rsid w:val="00874D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52">
    <w:name w:val="xl152"/>
    <w:basedOn w:val="Normal"/>
    <w:rsid w:val="00874D9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53">
    <w:name w:val="xl153"/>
    <w:basedOn w:val="Normal"/>
    <w:rsid w:val="00874D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54">
    <w:name w:val="xl154"/>
    <w:basedOn w:val="Normal"/>
    <w:rsid w:val="00874D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55">
    <w:name w:val="xl155"/>
    <w:basedOn w:val="Normal"/>
    <w:rsid w:val="00874D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color w:val="000000"/>
      <w:sz w:val="20"/>
      <w:szCs w:val="20"/>
      <w:lang w:eastAsia="es-EC"/>
    </w:rPr>
  </w:style>
  <w:style w:type="paragraph" w:customStyle="1" w:styleId="xl156">
    <w:name w:val="xl156"/>
    <w:basedOn w:val="Normal"/>
    <w:rsid w:val="00874D9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color w:val="000000"/>
      <w:sz w:val="20"/>
      <w:szCs w:val="20"/>
      <w:lang w:eastAsia="es-EC"/>
    </w:rPr>
  </w:style>
  <w:style w:type="paragraph" w:customStyle="1" w:styleId="xl157">
    <w:name w:val="xl157"/>
    <w:basedOn w:val="Normal"/>
    <w:rsid w:val="00874D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000000"/>
      <w:sz w:val="20"/>
      <w:szCs w:val="20"/>
      <w:lang w:eastAsia="es-EC"/>
    </w:rPr>
  </w:style>
  <w:style w:type="paragraph" w:customStyle="1" w:styleId="xl158">
    <w:name w:val="xl158"/>
    <w:basedOn w:val="Normal"/>
    <w:rsid w:val="00874D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159">
    <w:name w:val="xl159"/>
    <w:basedOn w:val="Normal"/>
    <w:rsid w:val="00874D9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160">
    <w:name w:val="xl160"/>
    <w:basedOn w:val="Normal"/>
    <w:rsid w:val="00874D9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161">
    <w:name w:val="xl161"/>
    <w:basedOn w:val="Normal"/>
    <w:rsid w:val="00874D9E"/>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62">
    <w:name w:val="xl162"/>
    <w:basedOn w:val="Normal"/>
    <w:rsid w:val="00874D9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000000"/>
      <w:sz w:val="20"/>
      <w:szCs w:val="20"/>
      <w:lang w:eastAsia="es-EC"/>
    </w:rPr>
  </w:style>
  <w:style w:type="paragraph" w:customStyle="1" w:styleId="xl163">
    <w:name w:val="xl163"/>
    <w:basedOn w:val="Normal"/>
    <w:rsid w:val="00874D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64">
    <w:name w:val="xl164"/>
    <w:basedOn w:val="Normal"/>
    <w:rsid w:val="00874D9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65">
    <w:name w:val="xl165"/>
    <w:basedOn w:val="Normal"/>
    <w:rsid w:val="00874D9E"/>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66">
    <w:name w:val="xl166"/>
    <w:basedOn w:val="Normal"/>
    <w:rsid w:val="00874D9E"/>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67">
    <w:name w:val="xl167"/>
    <w:basedOn w:val="Normal"/>
    <w:rsid w:val="00874D9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68">
    <w:name w:val="xl168"/>
    <w:basedOn w:val="Normal"/>
    <w:rsid w:val="00874D9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69">
    <w:name w:val="xl169"/>
    <w:basedOn w:val="Normal"/>
    <w:rsid w:val="00874D9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es-EC"/>
    </w:rPr>
  </w:style>
  <w:style w:type="paragraph" w:customStyle="1" w:styleId="xl170">
    <w:name w:val="xl170"/>
    <w:basedOn w:val="Normal"/>
    <w:rsid w:val="00874D9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es-EC"/>
    </w:rPr>
  </w:style>
  <w:style w:type="paragraph" w:customStyle="1" w:styleId="xl171">
    <w:name w:val="xl171"/>
    <w:basedOn w:val="Normal"/>
    <w:rsid w:val="00874D9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72">
    <w:name w:val="xl172"/>
    <w:basedOn w:val="Normal"/>
    <w:rsid w:val="00874D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EC"/>
    </w:rPr>
  </w:style>
  <w:style w:type="paragraph" w:customStyle="1" w:styleId="xl173">
    <w:name w:val="xl173"/>
    <w:basedOn w:val="Normal"/>
    <w:rsid w:val="00874D9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EC"/>
    </w:rPr>
  </w:style>
  <w:style w:type="paragraph" w:customStyle="1" w:styleId="xl174">
    <w:name w:val="xl174"/>
    <w:basedOn w:val="Normal"/>
    <w:rsid w:val="00874D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EC"/>
    </w:rPr>
  </w:style>
  <w:style w:type="paragraph" w:customStyle="1" w:styleId="xl175">
    <w:name w:val="xl175"/>
    <w:basedOn w:val="Normal"/>
    <w:rsid w:val="00874D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76">
    <w:name w:val="xl176"/>
    <w:basedOn w:val="Normal"/>
    <w:rsid w:val="00874D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77">
    <w:name w:val="xl177"/>
    <w:basedOn w:val="Normal"/>
    <w:rsid w:val="00874D9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78">
    <w:name w:val="xl178"/>
    <w:basedOn w:val="Normal"/>
    <w:rsid w:val="00874D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79">
    <w:name w:val="xl179"/>
    <w:basedOn w:val="Normal"/>
    <w:rsid w:val="00874D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80">
    <w:name w:val="xl180"/>
    <w:basedOn w:val="Normal"/>
    <w:rsid w:val="00874D9E"/>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81">
    <w:name w:val="xl181"/>
    <w:basedOn w:val="Normal"/>
    <w:rsid w:val="00874D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82">
    <w:name w:val="xl182"/>
    <w:basedOn w:val="Normal"/>
    <w:rsid w:val="00874D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183">
    <w:name w:val="xl183"/>
    <w:basedOn w:val="Normal"/>
    <w:rsid w:val="00874D9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184">
    <w:name w:val="xl184"/>
    <w:basedOn w:val="Normal"/>
    <w:rsid w:val="00874D9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185">
    <w:name w:val="xl185"/>
    <w:basedOn w:val="Normal"/>
    <w:rsid w:val="00874D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86">
    <w:name w:val="xl186"/>
    <w:basedOn w:val="Normal"/>
    <w:rsid w:val="00874D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87">
    <w:name w:val="xl187"/>
    <w:basedOn w:val="Normal"/>
    <w:rsid w:val="00874D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lang w:eastAsia="es-EC"/>
    </w:rPr>
  </w:style>
  <w:style w:type="paragraph" w:customStyle="1" w:styleId="xl188">
    <w:name w:val="xl188"/>
    <w:basedOn w:val="Normal"/>
    <w:rsid w:val="00874D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6"/>
      <w:szCs w:val="16"/>
      <w:lang w:eastAsia="es-EC"/>
    </w:rPr>
  </w:style>
  <w:style w:type="paragraph" w:customStyle="1" w:styleId="xl189">
    <w:name w:val="xl189"/>
    <w:basedOn w:val="Normal"/>
    <w:rsid w:val="00874D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EC"/>
    </w:rPr>
  </w:style>
  <w:style w:type="paragraph" w:customStyle="1" w:styleId="xl190">
    <w:name w:val="xl190"/>
    <w:basedOn w:val="Normal"/>
    <w:rsid w:val="00874D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91">
    <w:name w:val="xl191"/>
    <w:basedOn w:val="Normal"/>
    <w:rsid w:val="00874D9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92">
    <w:name w:val="xl192"/>
    <w:basedOn w:val="Normal"/>
    <w:rsid w:val="00874D9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93">
    <w:name w:val="xl193"/>
    <w:basedOn w:val="Normal"/>
    <w:rsid w:val="00874D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94">
    <w:name w:val="xl194"/>
    <w:basedOn w:val="Normal"/>
    <w:rsid w:val="00874D9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195">
    <w:name w:val="xl195"/>
    <w:basedOn w:val="Normal"/>
    <w:rsid w:val="00874D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es-EC"/>
    </w:rPr>
  </w:style>
  <w:style w:type="paragraph" w:customStyle="1" w:styleId="xl196">
    <w:name w:val="xl196"/>
    <w:basedOn w:val="Normal"/>
    <w:rsid w:val="00874D9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197">
    <w:name w:val="xl197"/>
    <w:basedOn w:val="Normal"/>
    <w:rsid w:val="00874D9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198">
    <w:name w:val="xl198"/>
    <w:basedOn w:val="Normal"/>
    <w:rsid w:val="00874D9E"/>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199">
    <w:name w:val="xl199"/>
    <w:basedOn w:val="Normal"/>
    <w:rsid w:val="00874D9E"/>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00">
    <w:name w:val="xl200"/>
    <w:basedOn w:val="Normal"/>
    <w:rsid w:val="00874D9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01">
    <w:name w:val="xl201"/>
    <w:basedOn w:val="Normal"/>
    <w:rsid w:val="00874D9E"/>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02">
    <w:name w:val="xl202"/>
    <w:basedOn w:val="Normal"/>
    <w:rsid w:val="00874D9E"/>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03">
    <w:name w:val="xl203"/>
    <w:basedOn w:val="Normal"/>
    <w:rsid w:val="00874D9E"/>
    <w:pPr>
      <w:pBdr>
        <w:top w:val="single" w:sz="8" w:space="0" w:color="auto"/>
        <w:bottom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04">
    <w:name w:val="xl204"/>
    <w:basedOn w:val="Normal"/>
    <w:rsid w:val="00874D9E"/>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color w:val="000000"/>
      <w:sz w:val="20"/>
      <w:szCs w:val="20"/>
      <w:lang w:eastAsia="es-EC"/>
    </w:rPr>
  </w:style>
  <w:style w:type="paragraph" w:customStyle="1" w:styleId="xl205">
    <w:name w:val="xl205"/>
    <w:basedOn w:val="Normal"/>
    <w:rsid w:val="00874D9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color w:val="000000"/>
      <w:sz w:val="20"/>
      <w:szCs w:val="20"/>
      <w:lang w:eastAsia="es-EC"/>
    </w:rPr>
  </w:style>
  <w:style w:type="paragraph" w:customStyle="1" w:styleId="xl206">
    <w:name w:val="xl206"/>
    <w:basedOn w:val="Normal"/>
    <w:rsid w:val="00874D9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color w:val="000000"/>
      <w:sz w:val="20"/>
      <w:szCs w:val="20"/>
      <w:lang w:eastAsia="es-EC"/>
    </w:rPr>
  </w:style>
  <w:style w:type="paragraph" w:customStyle="1" w:styleId="xl207">
    <w:name w:val="xl207"/>
    <w:basedOn w:val="Normal"/>
    <w:rsid w:val="00874D9E"/>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08">
    <w:name w:val="xl208"/>
    <w:basedOn w:val="Normal"/>
    <w:rsid w:val="00874D9E"/>
    <w:pPr>
      <w:pBdr>
        <w:top w:val="single" w:sz="4" w:space="0" w:color="auto"/>
        <w:left w:val="single" w:sz="4" w:space="0" w:color="auto"/>
        <w:right w:val="single" w:sz="4" w:space="0" w:color="auto"/>
      </w:pBdr>
      <w:shd w:val="clear" w:color="000000" w:fill="E26B0A"/>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09">
    <w:name w:val="xl209"/>
    <w:basedOn w:val="Normal"/>
    <w:rsid w:val="00874D9E"/>
    <w:pPr>
      <w:pBdr>
        <w:left w:val="single" w:sz="4" w:space="0" w:color="auto"/>
        <w:right w:val="single" w:sz="4" w:space="0" w:color="auto"/>
      </w:pBdr>
      <w:shd w:val="clear" w:color="000000" w:fill="E26B0A"/>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10">
    <w:name w:val="xl210"/>
    <w:basedOn w:val="Normal"/>
    <w:rsid w:val="00874D9E"/>
    <w:pPr>
      <w:pBdr>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11">
    <w:name w:val="xl211"/>
    <w:basedOn w:val="Normal"/>
    <w:rsid w:val="00874D9E"/>
    <w:pPr>
      <w:pBdr>
        <w:top w:val="single" w:sz="8" w:space="0" w:color="auto"/>
        <w:left w:val="single" w:sz="4" w:space="0" w:color="auto"/>
        <w:bottom w:val="single" w:sz="8"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12">
    <w:name w:val="xl212"/>
    <w:basedOn w:val="Normal"/>
    <w:rsid w:val="00874D9E"/>
    <w:pPr>
      <w:pBdr>
        <w:top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13">
    <w:name w:val="xl213"/>
    <w:basedOn w:val="Normal"/>
    <w:rsid w:val="00874D9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14">
    <w:name w:val="xl214"/>
    <w:basedOn w:val="Normal"/>
    <w:rsid w:val="00874D9E"/>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15">
    <w:name w:val="xl215"/>
    <w:basedOn w:val="Normal"/>
    <w:rsid w:val="00874D9E"/>
    <w:pPr>
      <w:pBdr>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16">
    <w:name w:val="xl216"/>
    <w:basedOn w:val="Normal"/>
    <w:rsid w:val="00874D9E"/>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color w:val="000000"/>
      <w:sz w:val="20"/>
      <w:szCs w:val="20"/>
      <w:lang w:eastAsia="es-EC"/>
    </w:rPr>
  </w:style>
  <w:style w:type="paragraph" w:customStyle="1" w:styleId="xl217">
    <w:name w:val="xl217"/>
    <w:basedOn w:val="Normal"/>
    <w:rsid w:val="00874D9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color w:val="000000"/>
      <w:sz w:val="20"/>
      <w:szCs w:val="20"/>
      <w:lang w:eastAsia="es-EC"/>
    </w:rPr>
  </w:style>
  <w:style w:type="paragraph" w:customStyle="1" w:styleId="xl218">
    <w:name w:val="xl218"/>
    <w:basedOn w:val="Normal"/>
    <w:rsid w:val="00874D9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b/>
      <w:bCs/>
      <w:color w:val="000000"/>
      <w:sz w:val="20"/>
      <w:szCs w:val="20"/>
      <w:lang w:eastAsia="es-EC"/>
    </w:rPr>
  </w:style>
  <w:style w:type="paragraph" w:customStyle="1" w:styleId="xl219">
    <w:name w:val="xl219"/>
    <w:basedOn w:val="Normal"/>
    <w:rsid w:val="00874D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220">
    <w:name w:val="xl220"/>
    <w:basedOn w:val="Normal"/>
    <w:rsid w:val="00874D9E"/>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221">
    <w:name w:val="xl221"/>
    <w:basedOn w:val="Normal"/>
    <w:rsid w:val="00874D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222">
    <w:name w:val="xl222"/>
    <w:basedOn w:val="Normal"/>
    <w:rsid w:val="00874D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000000"/>
      <w:sz w:val="20"/>
      <w:szCs w:val="20"/>
      <w:lang w:eastAsia="es-EC"/>
    </w:rPr>
  </w:style>
  <w:style w:type="paragraph" w:customStyle="1" w:styleId="xl223">
    <w:name w:val="xl223"/>
    <w:basedOn w:val="Normal"/>
    <w:rsid w:val="00874D9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olor w:val="000000"/>
      <w:sz w:val="20"/>
      <w:szCs w:val="20"/>
      <w:lang w:eastAsia="es-EC"/>
    </w:rPr>
  </w:style>
  <w:style w:type="paragraph" w:customStyle="1" w:styleId="xl224">
    <w:name w:val="xl224"/>
    <w:basedOn w:val="Normal"/>
    <w:rsid w:val="00874D9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color w:val="000000"/>
      <w:sz w:val="20"/>
      <w:szCs w:val="20"/>
      <w:lang w:eastAsia="es-EC"/>
    </w:rPr>
  </w:style>
  <w:style w:type="paragraph" w:customStyle="1" w:styleId="xl225">
    <w:name w:val="xl225"/>
    <w:basedOn w:val="Normal"/>
    <w:rsid w:val="00874D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226">
    <w:name w:val="xl226"/>
    <w:basedOn w:val="Normal"/>
    <w:rsid w:val="00874D9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227">
    <w:name w:val="xl227"/>
    <w:basedOn w:val="Normal"/>
    <w:rsid w:val="00874D9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20"/>
      <w:szCs w:val="20"/>
      <w:lang w:eastAsia="es-EC"/>
    </w:rPr>
  </w:style>
  <w:style w:type="paragraph" w:customStyle="1" w:styleId="xl228">
    <w:name w:val="xl228"/>
    <w:basedOn w:val="Normal"/>
    <w:rsid w:val="00874D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229">
    <w:name w:val="xl229"/>
    <w:basedOn w:val="Normal"/>
    <w:rsid w:val="00874D9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230">
    <w:name w:val="xl230"/>
    <w:basedOn w:val="Normal"/>
    <w:rsid w:val="00874D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231">
    <w:name w:val="xl231"/>
    <w:basedOn w:val="Normal"/>
    <w:rsid w:val="00874D9E"/>
    <w:pPr>
      <w:pBdr>
        <w:left w:val="single" w:sz="4"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32">
    <w:name w:val="xl232"/>
    <w:basedOn w:val="Normal"/>
    <w:rsid w:val="00874D9E"/>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b/>
      <w:bCs/>
      <w:sz w:val="20"/>
      <w:szCs w:val="20"/>
      <w:lang w:eastAsia="es-EC"/>
    </w:rPr>
  </w:style>
  <w:style w:type="paragraph" w:customStyle="1" w:styleId="xl233">
    <w:name w:val="xl233"/>
    <w:basedOn w:val="Normal"/>
    <w:rsid w:val="00874D9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Arial Narrow" w:eastAsia="Times New Roman" w:hAnsi="Arial Narrow"/>
      <w:sz w:val="20"/>
      <w:szCs w:val="20"/>
      <w:lang w:eastAsia="es-EC"/>
    </w:rPr>
  </w:style>
  <w:style w:type="paragraph" w:customStyle="1" w:styleId="text-justify">
    <w:name w:val="text-justify"/>
    <w:basedOn w:val="Normal"/>
    <w:rsid w:val="00874D9E"/>
    <w:pPr>
      <w:spacing w:before="100" w:beforeAutospacing="1" w:after="100" w:afterAutospacing="1" w:line="240" w:lineRule="auto"/>
    </w:pPr>
    <w:rPr>
      <w:rFonts w:ascii="Times New Roman" w:eastAsia="Times New Roman" w:hAnsi="Times New Roman"/>
      <w:sz w:val="24"/>
      <w:szCs w:val="24"/>
      <w:lang w:eastAsia="es-EC"/>
    </w:rPr>
  </w:style>
  <w:style w:type="table" w:customStyle="1" w:styleId="Tabladecuadrcula1clara-nfasis42">
    <w:name w:val="Tabla de cuadrícula 1 clara - Énfasis 42"/>
    <w:basedOn w:val="Tablanormal"/>
    <w:next w:val="Tablaconcuadrcula1clara-nfasis4"/>
    <w:uiPriority w:val="46"/>
    <w:rsid w:val="00874D9E"/>
    <w:rPr>
      <w:sz w:val="22"/>
      <w:szCs w:val="22"/>
      <w:lang w:val="es-ES"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adecuadrcula5oscura-nfasis32">
    <w:name w:val="Tabla de cuadrícula 5 oscura - Énfasis 32"/>
    <w:basedOn w:val="Tablanormal"/>
    <w:next w:val="Tablaconcuadrcula5oscura-nfasis3"/>
    <w:uiPriority w:val="50"/>
    <w:rsid w:val="00874D9E"/>
    <w:rPr>
      <w:sz w:val="22"/>
      <w:szCs w:val="22"/>
      <w:lang w:val="es-E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52">
    <w:name w:val="Tabla de cuadrícula 4 - Énfasis 52"/>
    <w:basedOn w:val="Tablanormal"/>
    <w:next w:val="Tablaconcuadrcula4-nfasis5"/>
    <w:uiPriority w:val="49"/>
    <w:rsid w:val="00874D9E"/>
    <w:rPr>
      <w:sz w:val="22"/>
      <w:szCs w:val="22"/>
      <w:lang w:val="es-E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5oscura-nfasis52">
    <w:name w:val="Tabla de cuadrícula 5 oscura - Énfasis 52"/>
    <w:basedOn w:val="Tablanormal"/>
    <w:next w:val="Tablaconcuadrcula5oscura-nfasis5"/>
    <w:uiPriority w:val="50"/>
    <w:rsid w:val="00874D9E"/>
    <w:rPr>
      <w:sz w:val="22"/>
      <w:szCs w:val="22"/>
      <w:lang w:val="es-E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4-nfasis312">
    <w:name w:val="Tabla de cuadrícula 4 - Énfasis 312"/>
    <w:basedOn w:val="Tablanormal"/>
    <w:next w:val="Tablaconcuadrcula4-nfasis3"/>
    <w:uiPriority w:val="49"/>
    <w:rsid w:val="00874D9E"/>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33">
    <w:name w:val="Tabla de cuadrícula 4 - Énfasis 33"/>
    <w:basedOn w:val="Tablanormal"/>
    <w:next w:val="Tablaconcuadrcula4-nfasis3"/>
    <w:uiPriority w:val="49"/>
    <w:rsid w:val="00874D9E"/>
    <w:rPr>
      <w:sz w:val="22"/>
      <w:szCs w:val="22"/>
      <w:lang w:val="es-E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Sombreadoclaro-nfasis6">
    <w:name w:val="Light Shading Accent 6"/>
    <w:basedOn w:val="Tablanormal"/>
    <w:uiPriority w:val="60"/>
    <w:semiHidden/>
    <w:unhideWhenUsed/>
    <w:rsid w:val="000D14A8"/>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tweetable">
    <w:name w:val="tweetable"/>
    <w:basedOn w:val="Fuentedeprrafopredeter"/>
    <w:rsid w:val="00722321"/>
  </w:style>
  <w:style w:type="table" w:styleId="Tabladecuadrcula3">
    <w:name w:val="Grid Table 3"/>
    <w:basedOn w:val="Tablanormal"/>
    <w:uiPriority w:val="48"/>
    <w:rsid w:val="00722321"/>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2">
    <w:name w:val="Grid Table 2"/>
    <w:basedOn w:val="Tablanormal"/>
    <w:uiPriority w:val="47"/>
    <w:rsid w:val="00722321"/>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Normal15">
    <w:name w:val="Table Normal15"/>
    <w:uiPriority w:val="2"/>
    <w:semiHidden/>
    <w:unhideWhenUsed/>
    <w:qFormat/>
    <w:rsid w:val="00023E1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09724">
      <w:bodyDiv w:val="1"/>
      <w:marLeft w:val="0"/>
      <w:marRight w:val="0"/>
      <w:marTop w:val="0"/>
      <w:marBottom w:val="0"/>
      <w:divBdr>
        <w:top w:val="none" w:sz="0" w:space="0" w:color="auto"/>
        <w:left w:val="none" w:sz="0" w:space="0" w:color="auto"/>
        <w:bottom w:val="none" w:sz="0" w:space="0" w:color="auto"/>
        <w:right w:val="none" w:sz="0" w:space="0" w:color="auto"/>
      </w:divBdr>
    </w:div>
    <w:div w:id="109248722">
      <w:bodyDiv w:val="1"/>
      <w:marLeft w:val="0"/>
      <w:marRight w:val="0"/>
      <w:marTop w:val="0"/>
      <w:marBottom w:val="0"/>
      <w:divBdr>
        <w:top w:val="none" w:sz="0" w:space="0" w:color="auto"/>
        <w:left w:val="none" w:sz="0" w:space="0" w:color="auto"/>
        <w:bottom w:val="none" w:sz="0" w:space="0" w:color="auto"/>
        <w:right w:val="none" w:sz="0" w:space="0" w:color="auto"/>
      </w:divBdr>
    </w:div>
    <w:div w:id="138311019">
      <w:bodyDiv w:val="1"/>
      <w:marLeft w:val="0"/>
      <w:marRight w:val="0"/>
      <w:marTop w:val="0"/>
      <w:marBottom w:val="0"/>
      <w:divBdr>
        <w:top w:val="none" w:sz="0" w:space="0" w:color="auto"/>
        <w:left w:val="none" w:sz="0" w:space="0" w:color="auto"/>
        <w:bottom w:val="none" w:sz="0" w:space="0" w:color="auto"/>
        <w:right w:val="none" w:sz="0" w:space="0" w:color="auto"/>
      </w:divBdr>
    </w:div>
    <w:div w:id="159397485">
      <w:bodyDiv w:val="1"/>
      <w:marLeft w:val="0"/>
      <w:marRight w:val="0"/>
      <w:marTop w:val="0"/>
      <w:marBottom w:val="0"/>
      <w:divBdr>
        <w:top w:val="none" w:sz="0" w:space="0" w:color="auto"/>
        <w:left w:val="none" w:sz="0" w:space="0" w:color="auto"/>
        <w:bottom w:val="none" w:sz="0" w:space="0" w:color="auto"/>
        <w:right w:val="none" w:sz="0" w:space="0" w:color="auto"/>
      </w:divBdr>
      <w:divsChild>
        <w:div w:id="1360859968">
          <w:marLeft w:val="0"/>
          <w:marRight w:val="0"/>
          <w:marTop w:val="0"/>
          <w:marBottom w:val="0"/>
          <w:divBdr>
            <w:top w:val="none" w:sz="0" w:space="0" w:color="auto"/>
            <w:left w:val="none" w:sz="0" w:space="0" w:color="auto"/>
            <w:bottom w:val="none" w:sz="0" w:space="0" w:color="auto"/>
            <w:right w:val="none" w:sz="0" w:space="0" w:color="auto"/>
          </w:divBdr>
          <w:divsChild>
            <w:div w:id="1931235489">
              <w:marLeft w:val="0"/>
              <w:marRight w:val="0"/>
              <w:marTop w:val="0"/>
              <w:marBottom w:val="0"/>
              <w:divBdr>
                <w:top w:val="none" w:sz="0" w:space="0" w:color="auto"/>
                <w:left w:val="none" w:sz="0" w:space="0" w:color="auto"/>
                <w:bottom w:val="none" w:sz="0" w:space="0" w:color="auto"/>
                <w:right w:val="none" w:sz="0" w:space="0" w:color="auto"/>
              </w:divBdr>
              <w:divsChild>
                <w:div w:id="1341739363">
                  <w:marLeft w:val="0"/>
                  <w:marRight w:val="0"/>
                  <w:marTop w:val="0"/>
                  <w:marBottom w:val="0"/>
                  <w:divBdr>
                    <w:top w:val="none" w:sz="0" w:space="0" w:color="auto"/>
                    <w:left w:val="none" w:sz="0" w:space="0" w:color="auto"/>
                    <w:bottom w:val="none" w:sz="0" w:space="0" w:color="auto"/>
                    <w:right w:val="none" w:sz="0" w:space="0" w:color="auto"/>
                  </w:divBdr>
                  <w:divsChild>
                    <w:div w:id="892698318">
                      <w:marLeft w:val="0"/>
                      <w:marRight w:val="0"/>
                      <w:marTop w:val="0"/>
                      <w:marBottom w:val="0"/>
                      <w:divBdr>
                        <w:top w:val="none" w:sz="0" w:space="0" w:color="auto"/>
                        <w:left w:val="none" w:sz="0" w:space="0" w:color="auto"/>
                        <w:bottom w:val="none" w:sz="0" w:space="0" w:color="auto"/>
                        <w:right w:val="none" w:sz="0" w:space="0" w:color="auto"/>
                      </w:divBdr>
                      <w:divsChild>
                        <w:div w:id="392588043">
                          <w:marLeft w:val="0"/>
                          <w:marRight w:val="0"/>
                          <w:marTop w:val="0"/>
                          <w:marBottom w:val="0"/>
                          <w:divBdr>
                            <w:top w:val="none" w:sz="0" w:space="0" w:color="auto"/>
                            <w:left w:val="none" w:sz="0" w:space="0" w:color="auto"/>
                            <w:bottom w:val="none" w:sz="0" w:space="0" w:color="auto"/>
                            <w:right w:val="none" w:sz="0" w:space="0" w:color="auto"/>
                          </w:divBdr>
                          <w:divsChild>
                            <w:div w:id="5332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3384">
      <w:bodyDiv w:val="1"/>
      <w:marLeft w:val="0"/>
      <w:marRight w:val="0"/>
      <w:marTop w:val="0"/>
      <w:marBottom w:val="0"/>
      <w:divBdr>
        <w:top w:val="none" w:sz="0" w:space="0" w:color="auto"/>
        <w:left w:val="none" w:sz="0" w:space="0" w:color="auto"/>
        <w:bottom w:val="none" w:sz="0" w:space="0" w:color="auto"/>
        <w:right w:val="none" w:sz="0" w:space="0" w:color="auto"/>
      </w:divBdr>
    </w:div>
    <w:div w:id="207763362">
      <w:bodyDiv w:val="1"/>
      <w:marLeft w:val="0"/>
      <w:marRight w:val="0"/>
      <w:marTop w:val="0"/>
      <w:marBottom w:val="0"/>
      <w:divBdr>
        <w:top w:val="none" w:sz="0" w:space="0" w:color="auto"/>
        <w:left w:val="none" w:sz="0" w:space="0" w:color="auto"/>
        <w:bottom w:val="none" w:sz="0" w:space="0" w:color="auto"/>
        <w:right w:val="none" w:sz="0" w:space="0" w:color="auto"/>
      </w:divBdr>
    </w:div>
    <w:div w:id="214245539">
      <w:bodyDiv w:val="1"/>
      <w:marLeft w:val="0"/>
      <w:marRight w:val="0"/>
      <w:marTop w:val="0"/>
      <w:marBottom w:val="0"/>
      <w:divBdr>
        <w:top w:val="none" w:sz="0" w:space="0" w:color="auto"/>
        <w:left w:val="none" w:sz="0" w:space="0" w:color="auto"/>
        <w:bottom w:val="none" w:sz="0" w:space="0" w:color="auto"/>
        <w:right w:val="none" w:sz="0" w:space="0" w:color="auto"/>
      </w:divBdr>
    </w:div>
    <w:div w:id="234821800">
      <w:bodyDiv w:val="1"/>
      <w:marLeft w:val="0"/>
      <w:marRight w:val="0"/>
      <w:marTop w:val="0"/>
      <w:marBottom w:val="0"/>
      <w:divBdr>
        <w:top w:val="none" w:sz="0" w:space="0" w:color="auto"/>
        <w:left w:val="none" w:sz="0" w:space="0" w:color="auto"/>
        <w:bottom w:val="none" w:sz="0" w:space="0" w:color="auto"/>
        <w:right w:val="none" w:sz="0" w:space="0" w:color="auto"/>
      </w:divBdr>
    </w:div>
    <w:div w:id="289437707">
      <w:bodyDiv w:val="1"/>
      <w:marLeft w:val="0"/>
      <w:marRight w:val="0"/>
      <w:marTop w:val="0"/>
      <w:marBottom w:val="0"/>
      <w:divBdr>
        <w:top w:val="none" w:sz="0" w:space="0" w:color="auto"/>
        <w:left w:val="none" w:sz="0" w:space="0" w:color="auto"/>
        <w:bottom w:val="none" w:sz="0" w:space="0" w:color="auto"/>
        <w:right w:val="none" w:sz="0" w:space="0" w:color="auto"/>
      </w:divBdr>
    </w:div>
    <w:div w:id="370494540">
      <w:bodyDiv w:val="1"/>
      <w:marLeft w:val="0"/>
      <w:marRight w:val="0"/>
      <w:marTop w:val="0"/>
      <w:marBottom w:val="0"/>
      <w:divBdr>
        <w:top w:val="none" w:sz="0" w:space="0" w:color="auto"/>
        <w:left w:val="none" w:sz="0" w:space="0" w:color="auto"/>
        <w:bottom w:val="none" w:sz="0" w:space="0" w:color="auto"/>
        <w:right w:val="none" w:sz="0" w:space="0" w:color="auto"/>
      </w:divBdr>
      <w:divsChild>
        <w:div w:id="2035425920">
          <w:marLeft w:val="0"/>
          <w:marRight w:val="0"/>
          <w:marTop w:val="0"/>
          <w:marBottom w:val="0"/>
          <w:divBdr>
            <w:top w:val="none" w:sz="0" w:space="0" w:color="auto"/>
            <w:left w:val="none" w:sz="0" w:space="0" w:color="auto"/>
            <w:bottom w:val="none" w:sz="0" w:space="0" w:color="auto"/>
            <w:right w:val="none" w:sz="0" w:space="0" w:color="auto"/>
          </w:divBdr>
          <w:divsChild>
            <w:div w:id="1042023828">
              <w:marLeft w:val="0"/>
              <w:marRight w:val="0"/>
              <w:marTop w:val="0"/>
              <w:marBottom w:val="0"/>
              <w:divBdr>
                <w:top w:val="none" w:sz="0" w:space="0" w:color="auto"/>
                <w:left w:val="none" w:sz="0" w:space="0" w:color="auto"/>
                <w:bottom w:val="none" w:sz="0" w:space="0" w:color="auto"/>
                <w:right w:val="none" w:sz="0" w:space="0" w:color="auto"/>
              </w:divBdr>
              <w:divsChild>
                <w:div w:id="1514758613">
                  <w:marLeft w:val="0"/>
                  <w:marRight w:val="0"/>
                  <w:marTop w:val="0"/>
                  <w:marBottom w:val="0"/>
                  <w:divBdr>
                    <w:top w:val="none" w:sz="0" w:space="0" w:color="auto"/>
                    <w:left w:val="none" w:sz="0" w:space="0" w:color="auto"/>
                    <w:bottom w:val="none" w:sz="0" w:space="0" w:color="auto"/>
                    <w:right w:val="none" w:sz="0" w:space="0" w:color="auto"/>
                  </w:divBdr>
                  <w:divsChild>
                    <w:div w:id="633683064">
                      <w:marLeft w:val="0"/>
                      <w:marRight w:val="0"/>
                      <w:marTop w:val="0"/>
                      <w:marBottom w:val="0"/>
                      <w:divBdr>
                        <w:top w:val="none" w:sz="0" w:space="0" w:color="auto"/>
                        <w:left w:val="none" w:sz="0" w:space="0" w:color="auto"/>
                        <w:bottom w:val="none" w:sz="0" w:space="0" w:color="auto"/>
                        <w:right w:val="none" w:sz="0" w:space="0" w:color="auto"/>
                      </w:divBdr>
                      <w:divsChild>
                        <w:div w:id="1806577388">
                          <w:marLeft w:val="0"/>
                          <w:marRight w:val="0"/>
                          <w:marTop w:val="0"/>
                          <w:marBottom w:val="0"/>
                          <w:divBdr>
                            <w:top w:val="none" w:sz="0" w:space="0" w:color="auto"/>
                            <w:left w:val="none" w:sz="0" w:space="0" w:color="auto"/>
                            <w:bottom w:val="none" w:sz="0" w:space="0" w:color="auto"/>
                            <w:right w:val="none" w:sz="0" w:space="0" w:color="auto"/>
                          </w:divBdr>
                          <w:divsChild>
                            <w:div w:id="42638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3775">
      <w:bodyDiv w:val="1"/>
      <w:marLeft w:val="0"/>
      <w:marRight w:val="0"/>
      <w:marTop w:val="0"/>
      <w:marBottom w:val="0"/>
      <w:divBdr>
        <w:top w:val="none" w:sz="0" w:space="0" w:color="auto"/>
        <w:left w:val="none" w:sz="0" w:space="0" w:color="auto"/>
        <w:bottom w:val="none" w:sz="0" w:space="0" w:color="auto"/>
        <w:right w:val="none" w:sz="0" w:space="0" w:color="auto"/>
      </w:divBdr>
    </w:div>
    <w:div w:id="398021929">
      <w:bodyDiv w:val="1"/>
      <w:marLeft w:val="0"/>
      <w:marRight w:val="0"/>
      <w:marTop w:val="0"/>
      <w:marBottom w:val="0"/>
      <w:divBdr>
        <w:top w:val="none" w:sz="0" w:space="0" w:color="auto"/>
        <w:left w:val="none" w:sz="0" w:space="0" w:color="auto"/>
        <w:bottom w:val="none" w:sz="0" w:space="0" w:color="auto"/>
        <w:right w:val="none" w:sz="0" w:space="0" w:color="auto"/>
      </w:divBdr>
    </w:div>
    <w:div w:id="410589064">
      <w:bodyDiv w:val="1"/>
      <w:marLeft w:val="0"/>
      <w:marRight w:val="0"/>
      <w:marTop w:val="0"/>
      <w:marBottom w:val="0"/>
      <w:divBdr>
        <w:top w:val="none" w:sz="0" w:space="0" w:color="auto"/>
        <w:left w:val="none" w:sz="0" w:space="0" w:color="auto"/>
        <w:bottom w:val="none" w:sz="0" w:space="0" w:color="auto"/>
        <w:right w:val="none" w:sz="0" w:space="0" w:color="auto"/>
      </w:divBdr>
    </w:div>
    <w:div w:id="413431792">
      <w:bodyDiv w:val="1"/>
      <w:marLeft w:val="0"/>
      <w:marRight w:val="0"/>
      <w:marTop w:val="0"/>
      <w:marBottom w:val="0"/>
      <w:divBdr>
        <w:top w:val="none" w:sz="0" w:space="0" w:color="auto"/>
        <w:left w:val="none" w:sz="0" w:space="0" w:color="auto"/>
        <w:bottom w:val="none" w:sz="0" w:space="0" w:color="auto"/>
        <w:right w:val="none" w:sz="0" w:space="0" w:color="auto"/>
      </w:divBdr>
    </w:div>
    <w:div w:id="489492017">
      <w:bodyDiv w:val="1"/>
      <w:marLeft w:val="0"/>
      <w:marRight w:val="0"/>
      <w:marTop w:val="0"/>
      <w:marBottom w:val="0"/>
      <w:divBdr>
        <w:top w:val="none" w:sz="0" w:space="0" w:color="auto"/>
        <w:left w:val="none" w:sz="0" w:space="0" w:color="auto"/>
        <w:bottom w:val="none" w:sz="0" w:space="0" w:color="auto"/>
        <w:right w:val="none" w:sz="0" w:space="0" w:color="auto"/>
      </w:divBdr>
    </w:div>
    <w:div w:id="521633228">
      <w:bodyDiv w:val="1"/>
      <w:marLeft w:val="0"/>
      <w:marRight w:val="0"/>
      <w:marTop w:val="0"/>
      <w:marBottom w:val="0"/>
      <w:divBdr>
        <w:top w:val="none" w:sz="0" w:space="0" w:color="auto"/>
        <w:left w:val="none" w:sz="0" w:space="0" w:color="auto"/>
        <w:bottom w:val="none" w:sz="0" w:space="0" w:color="auto"/>
        <w:right w:val="none" w:sz="0" w:space="0" w:color="auto"/>
      </w:divBdr>
    </w:div>
    <w:div w:id="565838766">
      <w:bodyDiv w:val="1"/>
      <w:marLeft w:val="0"/>
      <w:marRight w:val="0"/>
      <w:marTop w:val="0"/>
      <w:marBottom w:val="0"/>
      <w:divBdr>
        <w:top w:val="none" w:sz="0" w:space="0" w:color="auto"/>
        <w:left w:val="none" w:sz="0" w:space="0" w:color="auto"/>
        <w:bottom w:val="none" w:sz="0" w:space="0" w:color="auto"/>
        <w:right w:val="none" w:sz="0" w:space="0" w:color="auto"/>
      </w:divBdr>
    </w:div>
    <w:div w:id="587231684">
      <w:bodyDiv w:val="1"/>
      <w:marLeft w:val="0"/>
      <w:marRight w:val="0"/>
      <w:marTop w:val="0"/>
      <w:marBottom w:val="0"/>
      <w:divBdr>
        <w:top w:val="none" w:sz="0" w:space="0" w:color="auto"/>
        <w:left w:val="none" w:sz="0" w:space="0" w:color="auto"/>
        <w:bottom w:val="none" w:sz="0" w:space="0" w:color="auto"/>
        <w:right w:val="none" w:sz="0" w:space="0" w:color="auto"/>
      </w:divBdr>
    </w:div>
    <w:div w:id="608657111">
      <w:bodyDiv w:val="1"/>
      <w:marLeft w:val="0"/>
      <w:marRight w:val="0"/>
      <w:marTop w:val="0"/>
      <w:marBottom w:val="0"/>
      <w:divBdr>
        <w:top w:val="none" w:sz="0" w:space="0" w:color="auto"/>
        <w:left w:val="none" w:sz="0" w:space="0" w:color="auto"/>
        <w:bottom w:val="none" w:sz="0" w:space="0" w:color="auto"/>
        <w:right w:val="none" w:sz="0" w:space="0" w:color="auto"/>
      </w:divBdr>
      <w:divsChild>
        <w:div w:id="1556699270">
          <w:marLeft w:val="0"/>
          <w:marRight w:val="0"/>
          <w:marTop w:val="0"/>
          <w:marBottom w:val="0"/>
          <w:divBdr>
            <w:top w:val="none" w:sz="0" w:space="0" w:color="auto"/>
            <w:left w:val="none" w:sz="0" w:space="0" w:color="auto"/>
            <w:bottom w:val="none" w:sz="0" w:space="0" w:color="auto"/>
            <w:right w:val="none" w:sz="0" w:space="0" w:color="auto"/>
          </w:divBdr>
          <w:divsChild>
            <w:div w:id="463817429">
              <w:marLeft w:val="0"/>
              <w:marRight w:val="0"/>
              <w:marTop w:val="0"/>
              <w:marBottom w:val="0"/>
              <w:divBdr>
                <w:top w:val="none" w:sz="0" w:space="0" w:color="auto"/>
                <w:left w:val="none" w:sz="0" w:space="0" w:color="auto"/>
                <w:bottom w:val="none" w:sz="0" w:space="0" w:color="auto"/>
                <w:right w:val="none" w:sz="0" w:space="0" w:color="auto"/>
              </w:divBdr>
              <w:divsChild>
                <w:div w:id="1014841239">
                  <w:marLeft w:val="0"/>
                  <w:marRight w:val="0"/>
                  <w:marTop w:val="0"/>
                  <w:marBottom w:val="0"/>
                  <w:divBdr>
                    <w:top w:val="none" w:sz="0" w:space="0" w:color="auto"/>
                    <w:left w:val="none" w:sz="0" w:space="0" w:color="auto"/>
                    <w:bottom w:val="none" w:sz="0" w:space="0" w:color="auto"/>
                    <w:right w:val="none" w:sz="0" w:space="0" w:color="auto"/>
                  </w:divBdr>
                  <w:divsChild>
                    <w:div w:id="1109278409">
                      <w:marLeft w:val="0"/>
                      <w:marRight w:val="0"/>
                      <w:marTop w:val="0"/>
                      <w:marBottom w:val="0"/>
                      <w:divBdr>
                        <w:top w:val="none" w:sz="0" w:space="0" w:color="auto"/>
                        <w:left w:val="none" w:sz="0" w:space="0" w:color="auto"/>
                        <w:bottom w:val="none" w:sz="0" w:space="0" w:color="auto"/>
                        <w:right w:val="none" w:sz="0" w:space="0" w:color="auto"/>
                      </w:divBdr>
                      <w:divsChild>
                        <w:div w:id="197746890">
                          <w:marLeft w:val="0"/>
                          <w:marRight w:val="0"/>
                          <w:marTop w:val="0"/>
                          <w:marBottom w:val="0"/>
                          <w:divBdr>
                            <w:top w:val="none" w:sz="0" w:space="0" w:color="auto"/>
                            <w:left w:val="none" w:sz="0" w:space="0" w:color="auto"/>
                            <w:bottom w:val="none" w:sz="0" w:space="0" w:color="auto"/>
                            <w:right w:val="none" w:sz="0" w:space="0" w:color="auto"/>
                          </w:divBdr>
                          <w:divsChild>
                            <w:div w:id="7161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998225">
      <w:bodyDiv w:val="1"/>
      <w:marLeft w:val="0"/>
      <w:marRight w:val="0"/>
      <w:marTop w:val="0"/>
      <w:marBottom w:val="0"/>
      <w:divBdr>
        <w:top w:val="none" w:sz="0" w:space="0" w:color="auto"/>
        <w:left w:val="none" w:sz="0" w:space="0" w:color="auto"/>
        <w:bottom w:val="none" w:sz="0" w:space="0" w:color="auto"/>
        <w:right w:val="none" w:sz="0" w:space="0" w:color="auto"/>
      </w:divBdr>
    </w:div>
    <w:div w:id="630601415">
      <w:bodyDiv w:val="1"/>
      <w:marLeft w:val="0"/>
      <w:marRight w:val="0"/>
      <w:marTop w:val="0"/>
      <w:marBottom w:val="0"/>
      <w:divBdr>
        <w:top w:val="none" w:sz="0" w:space="0" w:color="auto"/>
        <w:left w:val="none" w:sz="0" w:space="0" w:color="auto"/>
        <w:bottom w:val="none" w:sz="0" w:space="0" w:color="auto"/>
        <w:right w:val="none" w:sz="0" w:space="0" w:color="auto"/>
      </w:divBdr>
    </w:div>
    <w:div w:id="641158945">
      <w:bodyDiv w:val="1"/>
      <w:marLeft w:val="0"/>
      <w:marRight w:val="0"/>
      <w:marTop w:val="0"/>
      <w:marBottom w:val="0"/>
      <w:divBdr>
        <w:top w:val="none" w:sz="0" w:space="0" w:color="auto"/>
        <w:left w:val="none" w:sz="0" w:space="0" w:color="auto"/>
        <w:bottom w:val="none" w:sz="0" w:space="0" w:color="auto"/>
        <w:right w:val="none" w:sz="0" w:space="0" w:color="auto"/>
      </w:divBdr>
    </w:div>
    <w:div w:id="681712065">
      <w:bodyDiv w:val="1"/>
      <w:marLeft w:val="0"/>
      <w:marRight w:val="0"/>
      <w:marTop w:val="0"/>
      <w:marBottom w:val="0"/>
      <w:divBdr>
        <w:top w:val="none" w:sz="0" w:space="0" w:color="auto"/>
        <w:left w:val="none" w:sz="0" w:space="0" w:color="auto"/>
        <w:bottom w:val="none" w:sz="0" w:space="0" w:color="auto"/>
        <w:right w:val="none" w:sz="0" w:space="0" w:color="auto"/>
      </w:divBdr>
    </w:div>
    <w:div w:id="768156600">
      <w:bodyDiv w:val="1"/>
      <w:marLeft w:val="0"/>
      <w:marRight w:val="0"/>
      <w:marTop w:val="0"/>
      <w:marBottom w:val="0"/>
      <w:divBdr>
        <w:top w:val="none" w:sz="0" w:space="0" w:color="auto"/>
        <w:left w:val="none" w:sz="0" w:space="0" w:color="auto"/>
        <w:bottom w:val="none" w:sz="0" w:space="0" w:color="auto"/>
        <w:right w:val="none" w:sz="0" w:space="0" w:color="auto"/>
      </w:divBdr>
    </w:div>
    <w:div w:id="843665458">
      <w:bodyDiv w:val="1"/>
      <w:marLeft w:val="0"/>
      <w:marRight w:val="0"/>
      <w:marTop w:val="0"/>
      <w:marBottom w:val="0"/>
      <w:divBdr>
        <w:top w:val="none" w:sz="0" w:space="0" w:color="auto"/>
        <w:left w:val="none" w:sz="0" w:space="0" w:color="auto"/>
        <w:bottom w:val="none" w:sz="0" w:space="0" w:color="auto"/>
        <w:right w:val="none" w:sz="0" w:space="0" w:color="auto"/>
      </w:divBdr>
    </w:div>
    <w:div w:id="902135129">
      <w:bodyDiv w:val="1"/>
      <w:marLeft w:val="0"/>
      <w:marRight w:val="0"/>
      <w:marTop w:val="0"/>
      <w:marBottom w:val="0"/>
      <w:divBdr>
        <w:top w:val="none" w:sz="0" w:space="0" w:color="auto"/>
        <w:left w:val="none" w:sz="0" w:space="0" w:color="auto"/>
        <w:bottom w:val="none" w:sz="0" w:space="0" w:color="auto"/>
        <w:right w:val="none" w:sz="0" w:space="0" w:color="auto"/>
      </w:divBdr>
    </w:div>
    <w:div w:id="905380241">
      <w:bodyDiv w:val="1"/>
      <w:marLeft w:val="0"/>
      <w:marRight w:val="0"/>
      <w:marTop w:val="0"/>
      <w:marBottom w:val="0"/>
      <w:divBdr>
        <w:top w:val="none" w:sz="0" w:space="0" w:color="auto"/>
        <w:left w:val="none" w:sz="0" w:space="0" w:color="auto"/>
        <w:bottom w:val="none" w:sz="0" w:space="0" w:color="auto"/>
        <w:right w:val="none" w:sz="0" w:space="0" w:color="auto"/>
      </w:divBdr>
    </w:div>
    <w:div w:id="1034041038">
      <w:bodyDiv w:val="1"/>
      <w:marLeft w:val="0"/>
      <w:marRight w:val="0"/>
      <w:marTop w:val="0"/>
      <w:marBottom w:val="0"/>
      <w:divBdr>
        <w:top w:val="none" w:sz="0" w:space="0" w:color="auto"/>
        <w:left w:val="none" w:sz="0" w:space="0" w:color="auto"/>
        <w:bottom w:val="none" w:sz="0" w:space="0" w:color="auto"/>
        <w:right w:val="none" w:sz="0" w:space="0" w:color="auto"/>
      </w:divBdr>
    </w:div>
    <w:div w:id="1056509250">
      <w:bodyDiv w:val="1"/>
      <w:marLeft w:val="0"/>
      <w:marRight w:val="0"/>
      <w:marTop w:val="0"/>
      <w:marBottom w:val="0"/>
      <w:divBdr>
        <w:top w:val="none" w:sz="0" w:space="0" w:color="auto"/>
        <w:left w:val="none" w:sz="0" w:space="0" w:color="auto"/>
        <w:bottom w:val="none" w:sz="0" w:space="0" w:color="auto"/>
        <w:right w:val="none" w:sz="0" w:space="0" w:color="auto"/>
      </w:divBdr>
    </w:div>
    <w:div w:id="1112359840">
      <w:bodyDiv w:val="1"/>
      <w:marLeft w:val="0"/>
      <w:marRight w:val="0"/>
      <w:marTop w:val="0"/>
      <w:marBottom w:val="0"/>
      <w:divBdr>
        <w:top w:val="none" w:sz="0" w:space="0" w:color="auto"/>
        <w:left w:val="none" w:sz="0" w:space="0" w:color="auto"/>
        <w:bottom w:val="none" w:sz="0" w:space="0" w:color="auto"/>
        <w:right w:val="none" w:sz="0" w:space="0" w:color="auto"/>
      </w:divBdr>
    </w:div>
    <w:div w:id="1120611945">
      <w:bodyDiv w:val="1"/>
      <w:marLeft w:val="0"/>
      <w:marRight w:val="0"/>
      <w:marTop w:val="0"/>
      <w:marBottom w:val="0"/>
      <w:divBdr>
        <w:top w:val="none" w:sz="0" w:space="0" w:color="auto"/>
        <w:left w:val="none" w:sz="0" w:space="0" w:color="auto"/>
        <w:bottom w:val="none" w:sz="0" w:space="0" w:color="auto"/>
        <w:right w:val="none" w:sz="0" w:space="0" w:color="auto"/>
      </w:divBdr>
    </w:div>
    <w:div w:id="1142962947">
      <w:bodyDiv w:val="1"/>
      <w:marLeft w:val="0"/>
      <w:marRight w:val="0"/>
      <w:marTop w:val="0"/>
      <w:marBottom w:val="0"/>
      <w:divBdr>
        <w:top w:val="none" w:sz="0" w:space="0" w:color="auto"/>
        <w:left w:val="none" w:sz="0" w:space="0" w:color="auto"/>
        <w:bottom w:val="none" w:sz="0" w:space="0" w:color="auto"/>
        <w:right w:val="none" w:sz="0" w:space="0" w:color="auto"/>
      </w:divBdr>
      <w:divsChild>
        <w:div w:id="297078416">
          <w:marLeft w:val="0"/>
          <w:marRight w:val="0"/>
          <w:marTop w:val="0"/>
          <w:marBottom w:val="0"/>
          <w:divBdr>
            <w:top w:val="none" w:sz="0" w:space="0" w:color="auto"/>
            <w:left w:val="none" w:sz="0" w:space="0" w:color="auto"/>
            <w:bottom w:val="none" w:sz="0" w:space="0" w:color="auto"/>
            <w:right w:val="none" w:sz="0" w:space="0" w:color="auto"/>
          </w:divBdr>
          <w:divsChild>
            <w:div w:id="620496883">
              <w:marLeft w:val="0"/>
              <w:marRight w:val="0"/>
              <w:marTop w:val="0"/>
              <w:marBottom w:val="0"/>
              <w:divBdr>
                <w:top w:val="none" w:sz="0" w:space="0" w:color="auto"/>
                <w:left w:val="none" w:sz="0" w:space="0" w:color="auto"/>
                <w:bottom w:val="none" w:sz="0" w:space="0" w:color="auto"/>
                <w:right w:val="none" w:sz="0" w:space="0" w:color="auto"/>
              </w:divBdr>
              <w:divsChild>
                <w:div w:id="68232636">
                  <w:marLeft w:val="0"/>
                  <w:marRight w:val="0"/>
                  <w:marTop w:val="0"/>
                  <w:marBottom w:val="0"/>
                  <w:divBdr>
                    <w:top w:val="none" w:sz="0" w:space="0" w:color="auto"/>
                    <w:left w:val="none" w:sz="0" w:space="0" w:color="auto"/>
                    <w:bottom w:val="none" w:sz="0" w:space="0" w:color="auto"/>
                    <w:right w:val="none" w:sz="0" w:space="0" w:color="auto"/>
                  </w:divBdr>
                  <w:divsChild>
                    <w:div w:id="649600432">
                      <w:marLeft w:val="0"/>
                      <w:marRight w:val="0"/>
                      <w:marTop w:val="0"/>
                      <w:marBottom w:val="0"/>
                      <w:divBdr>
                        <w:top w:val="none" w:sz="0" w:space="0" w:color="auto"/>
                        <w:left w:val="none" w:sz="0" w:space="0" w:color="auto"/>
                        <w:bottom w:val="none" w:sz="0" w:space="0" w:color="auto"/>
                        <w:right w:val="none" w:sz="0" w:space="0" w:color="auto"/>
                      </w:divBdr>
                      <w:divsChild>
                        <w:div w:id="967586066">
                          <w:marLeft w:val="0"/>
                          <w:marRight w:val="0"/>
                          <w:marTop w:val="0"/>
                          <w:marBottom w:val="0"/>
                          <w:divBdr>
                            <w:top w:val="none" w:sz="0" w:space="0" w:color="auto"/>
                            <w:left w:val="none" w:sz="0" w:space="0" w:color="auto"/>
                            <w:bottom w:val="none" w:sz="0" w:space="0" w:color="auto"/>
                            <w:right w:val="none" w:sz="0" w:space="0" w:color="auto"/>
                          </w:divBdr>
                          <w:divsChild>
                            <w:div w:id="13174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046891">
      <w:bodyDiv w:val="1"/>
      <w:marLeft w:val="0"/>
      <w:marRight w:val="0"/>
      <w:marTop w:val="0"/>
      <w:marBottom w:val="0"/>
      <w:divBdr>
        <w:top w:val="none" w:sz="0" w:space="0" w:color="auto"/>
        <w:left w:val="none" w:sz="0" w:space="0" w:color="auto"/>
        <w:bottom w:val="none" w:sz="0" w:space="0" w:color="auto"/>
        <w:right w:val="none" w:sz="0" w:space="0" w:color="auto"/>
      </w:divBdr>
      <w:divsChild>
        <w:div w:id="1671374582">
          <w:marLeft w:val="0"/>
          <w:marRight w:val="0"/>
          <w:marTop w:val="0"/>
          <w:marBottom w:val="0"/>
          <w:divBdr>
            <w:top w:val="none" w:sz="0" w:space="0" w:color="auto"/>
            <w:left w:val="none" w:sz="0" w:space="0" w:color="auto"/>
            <w:bottom w:val="none" w:sz="0" w:space="0" w:color="auto"/>
            <w:right w:val="none" w:sz="0" w:space="0" w:color="auto"/>
          </w:divBdr>
          <w:divsChild>
            <w:div w:id="1988126556">
              <w:marLeft w:val="0"/>
              <w:marRight w:val="0"/>
              <w:marTop w:val="0"/>
              <w:marBottom w:val="0"/>
              <w:divBdr>
                <w:top w:val="none" w:sz="0" w:space="0" w:color="auto"/>
                <w:left w:val="none" w:sz="0" w:space="0" w:color="auto"/>
                <w:bottom w:val="none" w:sz="0" w:space="0" w:color="auto"/>
                <w:right w:val="none" w:sz="0" w:space="0" w:color="auto"/>
              </w:divBdr>
              <w:divsChild>
                <w:div w:id="117071481">
                  <w:marLeft w:val="0"/>
                  <w:marRight w:val="0"/>
                  <w:marTop w:val="0"/>
                  <w:marBottom w:val="0"/>
                  <w:divBdr>
                    <w:top w:val="none" w:sz="0" w:space="0" w:color="auto"/>
                    <w:left w:val="none" w:sz="0" w:space="0" w:color="auto"/>
                    <w:bottom w:val="none" w:sz="0" w:space="0" w:color="auto"/>
                    <w:right w:val="none" w:sz="0" w:space="0" w:color="auto"/>
                  </w:divBdr>
                  <w:divsChild>
                    <w:div w:id="1609850470">
                      <w:marLeft w:val="0"/>
                      <w:marRight w:val="0"/>
                      <w:marTop w:val="0"/>
                      <w:marBottom w:val="0"/>
                      <w:divBdr>
                        <w:top w:val="none" w:sz="0" w:space="0" w:color="auto"/>
                        <w:left w:val="none" w:sz="0" w:space="0" w:color="auto"/>
                        <w:bottom w:val="none" w:sz="0" w:space="0" w:color="auto"/>
                        <w:right w:val="none" w:sz="0" w:space="0" w:color="auto"/>
                      </w:divBdr>
                      <w:divsChild>
                        <w:div w:id="2120491807">
                          <w:marLeft w:val="0"/>
                          <w:marRight w:val="0"/>
                          <w:marTop w:val="0"/>
                          <w:marBottom w:val="0"/>
                          <w:divBdr>
                            <w:top w:val="none" w:sz="0" w:space="0" w:color="auto"/>
                            <w:left w:val="none" w:sz="0" w:space="0" w:color="auto"/>
                            <w:bottom w:val="none" w:sz="0" w:space="0" w:color="auto"/>
                            <w:right w:val="none" w:sz="0" w:space="0" w:color="auto"/>
                          </w:divBdr>
                          <w:divsChild>
                            <w:div w:id="5437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10349">
      <w:bodyDiv w:val="1"/>
      <w:marLeft w:val="0"/>
      <w:marRight w:val="0"/>
      <w:marTop w:val="0"/>
      <w:marBottom w:val="0"/>
      <w:divBdr>
        <w:top w:val="none" w:sz="0" w:space="0" w:color="auto"/>
        <w:left w:val="none" w:sz="0" w:space="0" w:color="auto"/>
        <w:bottom w:val="none" w:sz="0" w:space="0" w:color="auto"/>
        <w:right w:val="none" w:sz="0" w:space="0" w:color="auto"/>
      </w:divBdr>
    </w:div>
    <w:div w:id="1221359710">
      <w:bodyDiv w:val="1"/>
      <w:marLeft w:val="0"/>
      <w:marRight w:val="0"/>
      <w:marTop w:val="0"/>
      <w:marBottom w:val="0"/>
      <w:divBdr>
        <w:top w:val="none" w:sz="0" w:space="0" w:color="auto"/>
        <w:left w:val="none" w:sz="0" w:space="0" w:color="auto"/>
        <w:bottom w:val="none" w:sz="0" w:space="0" w:color="auto"/>
        <w:right w:val="none" w:sz="0" w:space="0" w:color="auto"/>
      </w:divBdr>
    </w:div>
    <w:div w:id="1241523426">
      <w:bodyDiv w:val="1"/>
      <w:marLeft w:val="0"/>
      <w:marRight w:val="0"/>
      <w:marTop w:val="0"/>
      <w:marBottom w:val="0"/>
      <w:divBdr>
        <w:top w:val="none" w:sz="0" w:space="0" w:color="auto"/>
        <w:left w:val="none" w:sz="0" w:space="0" w:color="auto"/>
        <w:bottom w:val="none" w:sz="0" w:space="0" w:color="auto"/>
        <w:right w:val="none" w:sz="0" w:space="0" w:color="auto"/>
      </w:divBdr>
      <w:divsChild>
        <w:div w:id="61297720">
          <w:marLeft w:val="0"/>
          <w:marRight w:val="0"/>
          <w:marTop w:val="0"/>
          <w:marBottom w:val="0"/>
          <w:divBdr>
            <w:top w:val="none" w:sz="0" w:space="0" w:color="auto"/>
            <w:left w:val="none" w:sz="0" w:space="0" w:color="auto"/>
            <w:bottom w:val="none" w:sz="0" w:space="0" w:color="auto"/>
            <w:right w:val="none" w:sz="0" w:space="0" w:color="auto"/>
          </w:divBdr>
        </w:div>
        <w:div w:id="112749925">
          <w:marLeft w:val="0"/>
          <w:marRight w:val="0"/>
          <w:marTop w:val="0"/>
          <w:marBottom w:val="0"/>
          <w:divBdr>
            <w:top w:val="none" w:sz="0" w:space="0" w:color="auto"/>
            <w:left w:val="none" w:sz="0" w:space="0" w:color="auto"/>
            <w:bottom w:val="none" w:sz="0" w:space="0" w:color="auto"/>
            <w:right w:val="none" w:sz="0" w:space="0" w:color="auto"/>
          </w:divBdr>
        </w:div>
        <w:div w:id="114564115">
          <w:marLeft w:val="0"/>
          <w:marRight w:val="0"/>
          <w:marTop w:val="0"/>
          <w:marBottom w:val="0"/>
          <w:divBdr>
            <w:top w:val="none" w:sz="0" w:space="0" w:color="auto"/>
            <w:left w:val="none" w:sz="0" w:space="0" w:color="auto"/>
            <w:bottom w:val="none" w:sz="0" w:space="0" w:color="auto"/>
            <w:right w:val="none" w:sz="0" w:space="0" w:color="auto"/>
          </w:divBdr>
        </w:div>
        <w:div w:id="256209251">
          <w:marLeft w:val="0"/>
          <w:marRight w:val="0"/>
          <w:marTop w:val="0"/>
          <w:marBottom w:val="0"/>
          <w:divBdr>
            <w:top w:val="none" w:sz="0" w:space="0" w:color="auto"/>
            <w:left w:val="none" w:sz="0" w:space="0" w:color="auto"/>
            <w:bottom w:val="none" w:sz="0" w:space="0" w:color="auto"/>
            <w:right w:val="none" w:sz="0" w:space="0" w:color="auto"/>
          </w:divBdr>
        </w:div>
        <w:div w:id="265119080">
          <w:marLeft w:val="0"/>
          <w:marRight w:val="0"/>
          <w:marTop w:val="0"/>
          <w:marBottom w:val="0"/>
          <w:divBdr>
            <w:top w:val="none" w:sz="0" w:space="0" w:color="auto"/>
            <w:left w:val="none" w:sz="0" w:space="0" w:color="auto"/>
            <w:bottom w:val="none" w:sz="0" w:space="0" w:color="auto"/>
            <w:right w:val="none" w:sz="0" w:space="0" w:color="auto"/>
          </w:divBdr>
        </w:div>
        <w:div w:id="483358864">
          <w:marLeft w:val="0"/>
          <w:marRight w:val="0"/>
          <w:marTop w:val="0"/>
          <w:marBottom w:val="0"/>
          <w:divBdr>
            <w:top w:val="none" w:sz="0" w:space="0" w:color="auto"/>
            <w:left w:val="none" w:sz="0" w:space="0" w:color="auto"/>
            <w:bottom w:val="none" w:sz="0" w:space="0" w:color="auto"/>
            <w:right w:val="none" w:sz="0" w:space="0" w:color="auto"/>
          </w:divBdr>
        </w:div>
        <w:div w:id="488639314">
          <w:marLeft w:val="0"/>
          <w:marRight w:val="0"/>
          <w:marTop w:val="0"/>
          <w:marBottom w:val="0"/>
          <w:divBdr>
            <w:top w:val="none" w:sz="0" w:space="0" w:color="auto"/>
            <w:left w:val="none" w:sz="0" w:space="0" w:color="auto"/>
            <w:bottom w:val="none" w:sz="0" w:space="0" w:color="auto"/>
            <w:right w:val="none" w:sz="0" w:space="0" w:color="auto"/>
          </w:divBdr>
        </w:div>
        <w:div w:id="547685762">
          <w:marLeft w:val="0"/>
          <w:marRight w:val="0"/>
          <w:marTop w:val="0"/>
          <w:marBottom w:val="0"/>
          <w:divBdr>
            <w:top w:val="none" w:sz="0" w:space="0" w:color="auto"/>
            <w:left w:val="none" w:sz="0" w:space="0" w:color="auto"/>
            <w:bottom w:val="none" w:sz="0" w:space="0" w:color="auto"/>
            <w:right w:val="none" w:sz="0" w:space="0" w:color="auto"/>
          </w:divBdr>
        </w:div>
        <w:div w:id="560676450">
          <w:marLeft w:val="0"/>
          <w:marRight w:val="0"/>
          <w:marTop w:val="0"/>
          <w:marBottom w:val="0"/>
          <w:divBdr>
            <w:top w:val="none" w:sz="0" w:space="0" w:color="auto"/>
            <w:left w:val="none" w:sz="0" w:space="0" w:color="auto"/>
            <w:bottom w:val="none" w:sz="0" w:space="0" w:color="auto"/>
            <w:right w:val="none" w:sz="0" w:space="0" w:color="auto"/>
          </w:divBdr>
        </w:div>
        <w:div w:id="672025476">
          <w:marLeft w:val="0"/>
          <w:marRight w:val="0"/>
          <w:marTop w:val="0"/>
          <w:marBottom w:val="0"/>
          <w:divBdr>
            <w:top w:val="none" w:sz="0" w:space="0" w:color="auto"/>
            <w:left w:val="none" w:sz="0" w:space="0" w:color="auto"/>
            <w:bottom w:val="none" w:sz="0" w:space="0" w:color="auto"/>
            <w:right w:val="none" w:sz="0" w:space="0" w:color="auto"/>
          </w:divBdr>
        </w:div>
        <w:div w:id="849489101">
          <w:marLeft w:val="0"/>
          <w:marRight w:val="0"/>
          <w:marTop w:val="0"/>
          <w:marBottom w:val="0"/>
          <w:divBdr>
            <w:top w:val="none" w:sz="0" w:space="0" w:color="auto"/>
            <w:left w:val="none" w:sz="0" w:space="0" w:color="auto"/>
            <w:bottom w:val="none" w:sz="0" w:space="0" w:color="auto"/>
            <w:right w:val="none" w:sz="0" w:space="0" w:color="auto"/>
          </w:divBdr>
        </w:div>
        <w:div w:id="1106387210">
          <w:marLeft w:val="0"/>
          <w:marRight w:val="0"/>
          <w:marTop w:val="0"/>
          <w:marBottom w:val="0"/>
          <w:divBdr>
            <w:top w:val="none" w:sz="0" w:space="0" w:color="auto"/>
            <w:left w:val="none" w:sz="0" w:space="0" w:color="auto"/>
            <w:bottom w:val="none" w:sz="0" w:space="0" w:color="auto"/>
            <w:right w:val="none" w:sz="0" w:space="0" w:color="auto"/>
          </w:divBdr>
        </w:div>
        <w:div w:id="1145464586">
          <w:marLeft w:val="0"/>
          <w:marRight w:val="0"/>
          <w:marTop w:val="0"/>
          <w:marBottom w:val="0"/>
          <w:divBdr>
            <w:top w:val="none" w:sz="0" w:space="0" w:color="auto"/>
            <w:left w:val="none" w:sz="0" w:space="0" w:color="auto"/>
            <w:bottom w:val="none" w:sz="0" w:space="0" w:color="auto"/>
            <w:right w:val="none" w:sz="0" w:space="0" w:color="auto"/>
          </w:divBdr>
        </w:div>
        <w:div w:id="1149443350">
          <w:marLeft w:val="0"/>
          <w:marRight w:val="0"/>
          <w:marTop w:val="0"/>
          <w:marBottom w:val="0"/>
          <w:divBdr>
            <w:top w:val="none" w:sz="0" w:space="0" w:color="auto"/>
            <w:left w:val="none" w:sz="0" w:space="0" w:color="auto"/>
            <w:bottom w:val="none" w:sz="0" w:space="0" w:color="auto"/>
            <w:right w:val="none" w:sz="0" w:space="0" w:color="auto"/>
          </w:divBdr>
        </w:div>
        <w:div w:id="1160728488">
          <w:marLeft w:val="0"/>
          <w:marRight w:val="0"/>
          <w:marTop w:val="0"/>
          <w:marBottom w:val="0"/>
          <w:divBdr>
            <w:top w:val="none" w:sz="0" w:space="0" w:color="auto"/>
            <w:left w:val="none" w:sz="0" w:space="0" w:color="auto"/>
            <w:bottom w:val="none" w:sz="0" w:space="0" w:color="auto"/>
            <w:right w:val="none" w:sz="0" w:space="0" w:color="auto"/>
          </w:divBdr>
        </w:div>
        <w:div w:id="1161198009">
          <w:marLeft w:val="0"/>
          <w:marRight w:val="0"/>
          <w:marTop w:val="0"/>
          <w:marBottom w:val="0"/>
          <w:divBdr>
            <w:top w:val="none" w:sz="0" w:space="0" w:color="auto"/>
            <w:left w:val="none" w:sz="0" w:space="0" w:color="auto"/>
            <w:bottom w:val="none" w:sz="0" w:space="0" w:color="auto"/>
            <w:right w:val="none" w:sz="0" w:space="0" w:color="auto"/>
          </w:divBdr>
        </w:div>
        <w:div w:id="1180006709">
          <w:marLeft w:val="0"/>
          <w:marRight w:val="0"/>
          <w:marTop w:val="0"/>
          <w:marBottom w:val="0"/>
          <w:divBdr>
            <w:top w:val="none" w:sz="0" w:space="0" w:color="auto"/>
            <w:left w:val="none" w:sz="0" w:space="0" w:color="auto"/>
            <w:bottom w:val="none" w:sz="0" w:space="0" w:color="auto"/>
            <w:right w:val="none" w:sz="0" w:space="0" w:color="auto"/>
          </w:divBdr>
        </w:div>
        <w:div w:id="1290891059">
          <w:marLeft w:val="0"/>
          <w:marRight w:val="0"/>
          <w:marTop w:val="0"/>
          <w:marBottom w:val="0"/>
          <w:divBdr>
            <w:top w:val="none" w:sz="0" w:space="0" w:color="auto"/>
            <w:left w:val="none" w:sz="0" w:space="0" w:color="auto"/>
            <w:bottom w:val="none" w:sz="0" w:space="0" w:color="auto"/>
            <w:right w:val="none" w:sz="0" w:space="0" w:color="auto"/>
          </w:divBdr>
        </w:div>
        <w:div w:id="1300112805">
          <w:marLeft w:val="0"/>
          <w:marRight w:val="0"/>
          <w:marTop w:val="0"/>
          <w:marBottom w:val="0"/>
          <w:divBdr>
            <w:top w:val="none" w:sz="0" w:space="0" w:color="auto"/>
            <w:left w:val="none" w:sz="0" w:space="0" w:color="auto"/>
            <w:bottom w:val="none" w:sz="0" w:space="0" w:color="auto"/>
            <w:right w:val="none" w:sz="0" w:space="0" w:color="auto"/>
          </w:divBdr>
        </w:div>
        <w:div w:id="1433476970">
          <w:marLeft w:val="0"/>
          <w:marRight w:val="0"/>
          <w:marTop w:val="0"/>
          <w:marBottom w:val="0"/>
          <w:divBdr>
            <w:top w:val="none" w:sz="0" w:space="0" w:color="auto"/>
            <w:left w:val="none" w:sz="0" w:space="0" w:color="auto"/>
            <w:bottom w:val="none" w:sz="0" w:space="0" w:color="auto"/>
            <w:right w:val="none" w:sz="0" w:space="0" w:color="auto"/>
          </w:divBdr>
        </w:div>
        <w:div w:id="1504128836">
          <w:marLeft w:val="0"/>
          <w:marRight w:val="0"/>
          <w:marTop w:val="0"/>
          <w:marBottom w:val="0"/>
          <w:divBdr>
            <w:top w:val="none" w:sz="0" w:space="0" w:color="auto"/>
            <w:left w:val="none" w:sz="0" w:space="0" w:color="auto"/>
            <w:bottom w:val="none" w:sz="0" w:space="0" w:color="auto"/>
            <w:right w:val="none" w:sz="0" w:space="0" w:color="auto"/>
          </w:divBdr>
        </w:div>
        <w:div w:id="1536575249">
          <w:marLeft w:val="0"/>
          <w:marRight w:val="0"/>
          <w:marTop w:val="0"/>
          <w:marBottom w:val="0"/>
          <w:divBdr>
            <w:top w:val="none" w:sz="0" w:space="0" w:color="auto"/>
            <w:left w:val="none" w:sz="0" w:space="0" w:color="auto"/>
            <w:bottom w:val="none" w:sz="0" w:space="0" w:color="auto"/>
            <w:right w:val="none" w:sz="0" w:space="0" w:color="auto"/>
          </w:divBdr>
        </w:div>
        <w:div w:id="1595238870">
          <w:marLeft w:val="0"/>
          <w:marRight w:val="0"/>
          <w:marTop w:val="0"/>
          <w:marBottom w:val="0"/>
          <w:divBdr>
            <w:top w:val="none" w:sz="0" w:space="0" w:color="auto"/>
            <w:left w:val="none" w:sz="0" w:space="0" w:color="auto"/>
            <w:bottom w:val="none" w:sz="0" w:space="0" w:color="auto"/>
            <w:right w:val="none" w:sz="0" w:space="0" w:color="auto"/>
          </w:divBdr>
        </w:div>
        <w:div w:id="1646350366">
          <w:marLeft w:val="0"/>
          <w:marRight w:val="0"/>
          <w:marTop w:val="0"/>
          <w:marBottom w:val="0"/>
          <w:divBdr>
            <w:top w:val="none" w:sz="0" w:space="0" w:color="auto"/>
            <w:left w:val="none" w:sz="0" w:space="0" w:color="auto"/>
            <w:bottom w:val="none" w:sz="0" w:space="0" w:color="auto"/>
            <w:right w:val="none" w:sz="0" w:space="0" w:color="auto"/>
          </w:divBdr>
        </w:div>
        <w:div w:id="1662925363">
          <w:marLeft w:val="0"/>
          <w:marRight w:val="0"/>
          <w:marTop w:val="0"/>
          <w:marBottom w:val="0"/>
          <w:divBdr>
            <w:top w:val="none" w:sz="0" w:space="0" w:color="auto"/>
            <w:left w:val="none" w:sz="0" w:space="0" w:color="auto"/>
            <w:bottom w:val="none" w:sz="0" w:space="0" w:color="auto"/>
            <w:right w:val="none" w:sz="0" w:space="0" w:color="auto"/>
          </w:divBdr>
        </w:div>
        <w:div w:id="1669820736">
          <w:marLeft w:val="0"/>
          <w:marRight w:val="0"/>
          <w:marTop w:val="0"/>
          <w:marBottom w:val="0"/>
          <w:divBdr>
            <w:top w:val="none" w:sz="0" w:space="0" w:color="auto"/>
            <w:left w:val="none" w:sz="0" w:space="0" w:color="auto"/>
            <w:bottom w:val="none" w:sz="0" w:space="0" w:color="auto"/>
            <w:right w:val="none" w:sz="0" w:space="0" w:color="auto"/>
          </w:divBdr>
        </w:div>
        <w:div w:id="1711805775">
          <w:marLeft w:val="0"/>
          <w:marRight w:val="0"/>
          <w:marTop w:val="0"/>
          <w:marBottom w:val="0"/>
          <w:divBdr>
            <w:top w:val="none" w:sz="0" w:space="0" w:color="auto"/>
            <w:left w:val="none" w:sz="0" w:space="0" w:color="auto"/>
            <w:bottom w:val="none" w:sz="0" w:space="0" w:color="auto"/>
            <w:right w:val="none" w:sz="0" w:space="0" w:color="auto"/>
          </w:divBdr>
        </w:div>
        <w:div w:id="1829055853">
          <w:marLeft w:val="0"/>
          <w:marRight w:val="0"/>
          <w:marTop w:val="0"/>
          <w:marBottom w:val="0"/>
          <w:divBdr>
            <w:top w:val="none" w:sz="0" w:space="0" w:color="auto"/>
            <w:left w:val="none" w:sz="0" w:space="0" w:color="auto"/>
            <w:bottom w:val="none" w:sz="0" w:space="0" w:color="auto"/>
            <w:right w:val="none" w:sz="0" w:space="0" w:color="auto"/>
          </w:divBdr>
        </w:div>
        <w:div w:id="1859663184">
          <w:marLeft w:val="0"/>
          <w:marRight w:val="0"/>
          <w:marTop w:val="0"/>
          <w:marBottom w:val="0"/>
          <w:divBdr>
            <w:top w:val="none" w:sz="0" w:space="0" w:color="auto"/>
            <w:left w:val="none" w:sz="0" w:space="0" w:color="auto"/>
            <w:bottom w:val="none" w:sz="0" w:space="0" w:color="auto"/>
            <w:right w:val="none" w:sz="0" w:space="0" w:color="auto"/>
          </w:divBdr>
        </w:div>
        <w:div w:id="1983463567">
          <w:marLeft w:val="0"/>
          <w:marRight w:val="0"/>
          <w:marTop w:val="0"/>
          <w:marBottom w:val="0"/>
          <w:divBdr>
            <w:top w:val="none" w:sz="0" w:space="0" w:color="auto"/>
            <w:left w:val="none" w:sz="0" w:space="0" w:color="auto"/>
            <w:bottom w:val="none" w:sz="0" w:space="0" w:color="auto"/>
            <w:right w:val="none" w:sz="0" w:space="0" w:color="auto"/>
          </w:divBdr>
        </w:div>
        <w:div w:id="2005162789">
          <w:marLeft w:val="0"/>
          <w:marRight w:val="0"/>
          <w:marTop w:val="0"/>
          <w:marBottom w:val="0"/>
          <w:divBdr>
            <w:top w:val="none" w:sz="0" w:space="0" w:color="auto"/>
            <w:left w:val="none" w:sz="0" w:space="0" w:color="auto"/>
            <w:bottom w:val="none" w:sz="0" w:space="0" w:color="auto"/>
            <w:right w:val="none" w:sz="0" w:space="0" w:color="auto"/>
          </w:divBdr>
        </w:div>
        <w:div w:id="2124808888">
          <w:marLeft w:val="0"/>
          <w:marRight w:val="0"/>
          <w:marTop w:val="0"/>
          <w:marBottom w:val="0"/>
          <w:divBdr>
            <w:top w:val="none" w:sz="0" w:space="0" w:color="auto"/>
            <w:left w:val="none" w:sz="0" w:space="0" w:color="auto"/>
            <w:bottom w:val="none" w:sz="0" w:space="0" w:color="auto"/>
            <w:right w:val="none" w:sz="0" w:space="0" w:color="auto"/>
          </w:divBdr>
        </w:div>
      </w:divsChild>
    </w:div>
    <w:div w:id="1249072075">
      <w:bodyDiv w:val="1"/>
      <w:marLeft w:val="0"/>
      <w:marRight w:val="0"/>
      <w:marTop w:val="0"/>
      <w:marBottom w:val="0"/>
      <w:divBdr>
        <w:top w:val="none" w:sz="0" w:space="0" w:color="auto"/>
        <w:left w:val="none" w:sz="0" w:space="0" w:color="auto"/>
        <w:bottom w:val="none" w:sz="0" w:space="0" w:color="auto"/>
        <w:right w:val="none" w:sz="0" w:space="0" w:color="auto"/>
      </w:divBdr>
    </w:div>
    <w:div w:id="1332490041">
      <w:bodyDiv w:val="1"/>
      <w:marLeft w:val="0"/>
      <w:marRight w:val="0"/>
      <w:marTop w:val="0"/>
      <w:marBottom w:val="0"/>
      <w:divBdr>
        <w:top w:val="none" w:sz="0" w:space="0" w:color="auto"/>
        <w:left w:val="none" w:sz="0" w:space="0" w:color="auto"/>
        <w:bottom w:val="none" w:sz="0" w:space="0" w:color="auto"/>
        <w:right w:val="none" w:sz="0" w:space="0" w:color="auto"/>
      </w:divBdr>
      <w:divsChild>
        <w:div w:id="1327973870">
          <w:marLeft w:val="0"/>
          <w:marRight w:val="0"/>
          <w:marTop w:val="0"/>
          <w:marBottom w:val="0"/>
          <w:divBdr>
            <w:top w:val="none" w:sz="0" w:space="0" w:color="auto"/>
            <w:left w:val="none" w:sz="0" w:space="0" w:color="auto"/>
            <w:bottom w:val="none" w:sz="0" w:space="0" w:color="auto"/>
            <w:right w:val="none" w:sz="0" w:space="0" w:color="auto"/>
          </w:divBdr>
          <w:divsChild>
            <w:div w:id="1574125758">
              <w:marLeft w:val="0"/>
              <w:marRight w:val="0"/>
              <w:marTop w:val="0"/>
              <w:marBottom w:val="0"/>
              <w:divBdr>
                <w:top w:val="none" w:sz="0" w:space="0" w:color="auto"/>
                <w:left w:val="none" w:sz="0" w:space="0" w:color="auto"/>
                <w:bottom w:val="none" w:sz="0" w:space="0" w:color="auto"/>
                <w:right w:val="none" w:sz="0" w:space="0" w:color="auto"/>
              </w:divBdr>
              <w:divsChild>
                <w:div w:id="1404065810">
                  <w:marLeft w:val="0"/>
                  <w:marRight w:val="0"/>
                  <w:marTop w:val="0"/>
                  <w:marBottom w:val="0"/>
                  <w:divBdr>
                    <w:top w:val="none" w:sz="0" w:space="0" w:color="auto"/>
                    <w:left w:val="none" w:sz="0" w:space="0" w:color="auto"/>
                    <w:bottom w:val="none" w:sz="0" w:space="0" w:color="auto"/>
                    <w:right w:val="none" w:sz="0" w:space="0" w:color="auto"/>
                  </w:divBdr>
                  <w:divsChild>
                    <w:div w:id="1121801524">
                      <w:marLeft w:val="0"/>
                      <w:marRight w:val="0"/>
                      <w:marTop w:val="0"/>
                      <w:marBottom w:val="0"/>
                      <w:divBdr>
                        <w:top w:val="none" w:sz="0" w:space="0" w:color="auto"/>
                        <w:left w:val="none" w:sz="0" w:space="0" w:color="auto"/>
                        <w:bottom w:val="none" w:sz="0" w:space="0" w:color="auto"/>
                        <w:right w:val="none" w:sz="0" w:space="0" w:color="auto"/>
                      </w:divBdr>
                      <w:divsChild>
                        <w:div w:id="372001188">
                          <w:marLeft w:val="0"/>
                          <w:marRight w:val="0"/>
                          <w:marTop w:val="0"/>
                          <w:marBottom w:val="0"/>
                          <w:divBdr>
                            <w:top w:val="none" w:sz="0" w:space="0" w:color="auto"/>
                            <w:left w:val="none" w:sz="0" w:space="0" w:color="auto"/>
                            <w:bottom w:val="none" w:sz="0" w:space="0" w:color="auto"/>
                            <w:right w:val="none" w:sz="0" w:space="0" w:color="auto"/>
                          </w:divBdr>
                          <w:divsChild>
                            <w:div w:id="9273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044165">
      <w:bodyDiv w:val="1"/>
      <w:marLeft w:val="0"/>
      <w:marRight w:val="0"/>
      <w:marTop w:val="0"/>
      <w:marBottom w:val="0"/>
      <w:divBdr>
        <w:top w:val="none" w:sz="0" w:space="0" w:color="auto"/>
        <w:left w:val="none" w:sz="0" w:space="0" w:color="auto"/>
        <w:bottom w:val="none" w:sz="0" w:space="0" w:color="auto"/>
        <w:right w:val="none" w:sz="0" w:space="0" w:color="auto"/>
      </w:divBdr>
    </w:div>
    <w:div w:id="1726758978">
      <w:bodyDiv w:val="1"/>
      <w:marLeft w:val="0"/>
      <w:marRight w:val="0"/>
      <w:marTop w:val="0"/>
      <w:marBottom w:val="0"/>
      <w:divBdr>
        <w:top w:val="none" w:sz="0" w:space="0" w:color="auto"/>
        <w:left w:val="none" w:sz="0" w:space="0" w:color="auto"/>
        <w:bottom w:val="none" w:sz="0" w:space="0" w:color="auto"/>
        <w:right w:val="none" w:sz="0" w:space="0" w:color="auto"/>
      </w:divBdr>
    </w:div>
    <w:div w:id="1778941152">
      <w:bodyDiv w:val="1"/>
      <w:marLeft w:val="0"/>
      <w:marRight w:val="0"/>
      <w:marTop w:val="0"/>
      <w:marBottom w:val="0"/>
      <w:divBdr>
        <w:top w:val="none" w:sz="0" w:space="0" w:color="auto"/>
        <w:left w:val="none" w:sz="0" w:space="0" w:color="auto"/>
        <w:bottom w:val="none" w:sz="0" w:space="0" w:color="auto"/>
        <w:right w:val="none" w:sz="0" w:space="0" w:color="auto"/>
      </w:divBdr>
    </w:div>
    <w:div w:id="1820226155">
      <w:bodyDiv w:val="1"/>
      <w:marLeft w:val="0"/>
      <w:marRight w:val="0"/>
      <w:marTop w:val="0"/>
      <w:marBottom w:val="0"/>
      <w:divBdr>
        <w:top w:val="none" w:sz="0" w:space="0" w:color="auto"/>
        <w:left w:val="none" w:sz="0" w:space="0" w:color="auto"/>
        <w:bottom w:val="none" w:sz="0" w:space="0" w:color="auto"/>
        <w:right w:val="none" w:sz="0" w:space="0" w:color="auto"/>
      </w:divBdr>
    </w:div>
    <w:div w:id="1860847683">
      <w:bodyDiv w:val="1"/>
      <w:marLeft w:val="0"/>
      <w:marRight w:val="0"/>
      <w:marTop w:val="0"/>
      <w:marBottom w:val="0"/>
      <w:divBdr>
        <w:top w:val="none" w:sz="0" w:space="0" w:color="auto"/>
        <w:left w:val="none" w:sz="0" w:space="0" w:color="auto"/>
        <w:bottom w:val="none" w:sz="0" w:space="0" w:color="auto"/>
        <w:right w:val="none" w:sz="0" w:space="0" w:color="auto"/>
      </w:divBdr>
    </w:div>
    <w:div w:id="1870337106">
      <w:bodyDiv w:val="1"/>
      <w:marLeft w:val="0"/>
      <w:marRight w:val="0"/>
      <w:marTop w:val="0"/>
      <w:marBottom w:val="0"/>
      <w:divBdr>
        <w:top w:val="none" w:sz="0" w:space="0" w:color="auto"/>
        <w:left w:val="none" w:sz="0" w:space="0" w:color="auto"/>
        <w:bottom w:val="none" w:sz="0" w:space="0" w:color="auto"/>
        <w:right w:val="none" w:sz="0" w:space="0" w:color="auto"/>
      </w:divBdr>
    </w:div>
    <w:div w:id="1914121893">
      <w:bodyDiv w:val="1"/>
      <w:marLeft w:val="0"/>
      <w:marRight w:val="0"/>
      <w:marTop w:val="0"/>
      <w:marBottom w:val="0"/>
      <w:divBdr>
        <w:top w:val="none" w:sz="0" w:space="0" w:color="auto"/>
        <w:left w:val="none" w:sz="0" w:space="0" w:color="auto"/>
        <w:bottom w:val="none" w:sz="0" w:space="0" w:color="auto"/>
        <w:right w:val="none" w:sz="0" w:space="0" w:color="auto"/>
      </w:divBdr>
    </w:div>
    <w:div w:id="1984112809">
      <w:bodyDiv w:val="1"/>
      <w:marLeft w:val="0"/>
      <w:marRight w:val="0"/>
      <w:marTop w:val="0"/>
      <w:marBottom w:val="0"/>
      <w:divBdr>
        <w:top w:val="none" w:sz="0" w:space="0" w:color="auto"/>
        <w:left w:val="none" w:sz="0" w:space="0" w:color="auto"/>
        <w:bottom w:val="none" w:sz="0" w:space="0" w:color="auto"/>
        <w:right w:val="none" w:sz="0" w:space="0" w:color="auto"/>
      </w:divBdr>
    </w:div>
    <w:div w:id="2036803462">
      <w:bodyDiv w:val="1"/>
      <w:marLeft w:val="0"/>
      <w:marRight w:val="0"/>
      <w:marTop w:val="0"/>
      <w:marBottom w:val="0"/>
      <w:divBdr>
        <w:top w:val="none" w:sz="0" w:space="0" w:color="auto"/>
        <w:left w:val="none" w:sz="0" w:space="0" w:color="auto"/>
        <w:bottom w:val="none" w:sz="0" w:space="0" w:color="auto"/>
        <w:right w:val="none" w:sz="0" w:space="0" w:color="auto"/>
      </w:divBdr>
    </w:div>
    <w:div w:id="207015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UISMIGUEL\Desktop\Jhoanelda\Proyectos%20Ecuador\Art&#237;culos%20para%20revisar\Art.%20Impacto%20de%20la%20IA%20generativa%20Polo%20del%20Conoc\Libro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UISMIGUEL\Desktop\Jhoanelda\Proyectos%20Ecuador\Art&#237;culos%20para%20revisar\Art.%20Impacto%20de%20la%20IA%20generativa%20Polo%20del%20Conoc\Libro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100">
                <a:solidFill>
                  <a:sysClr val="windowText" lastClr="000000"/>
                </a:solidFill>
              </a:rPr>
              <a:t>¿Con qué frecuencia utilizas herramientas de inteligencia generativa como Copilot o ChatGPT en tus actividades académicas?</a:t>
            </a:r>
          </a:p>
        </c:rich>
      </c:tx>
      <c:layout>
        <c:manualLayout>
          <c:xMode val="edge"/>
          <c:yMode val="edge"/>
          <c:x val="0.12072638356102923"/>
          <c:y val="2.0356234096692113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EC"/>
        </a:p>
      </c:txPr>
    </c:title>
    <c:autoTitleDeleted val="0"/>
    <c:plotArea>
      <c:layout>
        <c:manualLayout>
          <c:layoutTarget val="inner"/>
          <c:xMode val="edge"/>
          <c:yMode val="edge"/>
          <c:x val="9.3838975256298085E-2"/>
          <c:y val="0.29354851635911922"/>
          <c:w val="0.81232204948740383"/>
          <c:h val="0.48525455310452603"/>
        </c:manualLayout>
      </c:layout>
      <c:barChart>
        <c:barDir val="col"/>
        <c:grouping val="clustered"/>
        <c:varyColors val="0"/>
        <c:ser>
          <c:idx val="1"/>
          <c:order val="1"/>
          <c:tx>
            <c:strRef>
              <c:f>Hoja1!$D$3</c:f>
              <c:strCache>
                <c:ptCount val="1"/>
                <c:pt idx="0">
                  <c:v>Porcentaje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Pt>
            <c:idx val="0"/>
            <c:invertIfNegative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extLst>
              <c:ext xmlns:c16="http://schemas.microsoft.com/office/drawing/2014/chart" uri="{C3380CC4-5D6E-409C-BE32-E72D297353CC}">
                <c16:uniqueId val="{00000001-9FBA-4A49-8C04-BDD9929A8CB9}"/>
              </c:ext>
            </c:extLst>
          </c:dPt>
          <c:dPt>
            <c:idx val="1"/>
            <c:invertIfNegative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extLst>
              <c:ext xmlns:c16="http://schemas.microsoft.com/office/drawing/2014/chart" uri="{C3380CC4-5D6E-409C-BE32-E72D297353CC}">
                <c16:uniqueId val="{00000003-9FBA-4A49-8C04-BDD9929A8CB9}"/>
              </c:ext>
            </c:extLst>
          </c:dPt>
          <c:dPt>
            <c:idx val="2"/>
            <c:invertIfNegative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extLst>
              <c:ext xmlns:c16="http://schemas.microsoft.com/office/drawing/2014/chart" uri="{C3380CC4-5D6E-409C-BE32-E72D297353CC}">
                <c16:uniqueId val="{00000005-9FBA-4A49-8C04-BDD9929A8CB9}"/>
              </c:ext>
            </c:extLst>
          </c:dPt>
          <c:dPt>
            <c:idx val="3"/>
            <c:invertIfNegative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extLst>
              <c:ext xmlns:c16="http://schemas.microsoft.com/office/drawing/2014/chart" uri="{C3380CC4-5D6E-409C-BE32-E72D297353CC}">
                <c16:uniqueId val="{00000007-9FBA-4A49-8C04-BDD9929A8CB9}"/>
              </c:ext>
            </c:extLst>
          </c:dPt>
          <c:dLbls>
            <c:dLbl>
              <c:idx val="0"/>
              <c:tx>
                <c:rich>
                  <a:bodyPr/>
                  <a:lstStyle/>
                  <a:p>
                    <a:fld id="{E4B37300-6A68-4314-AC41-89EFD406C847}"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FBA-4A49-8C04-BDD9929A8CB9}"/>
                </c:ext>
              </c:extLst>
            </c:dLbl>
            <c:dLbl>
              <c:idx val="1"/>
              <c:tx>
                <c:rich>
                  <a:bodyPr/>
                  <a:lstStyle/>
                  <a:p>
                    <a:fld id="{E6DFD0CF-A5AA-433D-B69F-EAF748DE296A}"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FBA-4A49-8C04-BDD9929A8CB9}"/>
                </c:ext>
              </c:extLst>
            </c:dLbl>
            <c:dLbl>
              <c:idx val="2"/>
              <c:tx>
                <c:rich>
                  <a:bodyPr/>
                  <a:lstStyle/>
                  <a:p>
                    <a:fld id="{74AB355E-C84D-4EEE-856C-3D818BDA1955}"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FBA-4A49-8C04-BDD9929A8CB9}"/>
                </c:ext>
              </c:extLst>
            </c:dLbl>
            <c:dLbl>
              <c:idx val="3"/>
              <c:tx>
                <c:rich>
                  <a:bodyPr/>
                  <a:lstStyle/>
                  <a:p>
                    <a:fld id="{D987E017-5E2E-4661-A178-D2014EA3F977}"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FBA-4A49-8C04-BDD9929A8CB9}"/>
                </c:ext>
              </c:extLst>
            </c:dLbl>
            <c:dLbl>
              <c:idx val="4"/>
              <c:tx>
                <c:rich>
                  <a:bodyPr/>
                  <a:lstStyle/>
                  <a:p>
                    <a:fld id="{2B1F5B5A-9E48-4E94-B5EA-7ED3B082BBBE}"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FBA-4A49-8C04-BDD9929A8CB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Hoja1!$A$4:$A$8</c:f>
              <c:strCache>
                <c:ptCount val="5"/>
                <c:pt idx="0">
                  <c:v>Siempre</c:v>
                </c:pt>
                <c:pt idx="1">
                  <c:v>Frecuentemente</c:v>
                </c:pt>
                <c:pt idx="2">
                  <c:v>Algunas veces</c:v>
                </c:pt>
                <c:pt idx="3">
                  <c:v>Rara vez</c:v>
                </c:pt>
                <c:pt idx="4">
                  <c:v>Nunca</c:v>
                </c:pt>
              </c:strCache>
            </c:strRef>
          </c:cat>
          <c:val>
            <c:numRef>
              <c:f>Hoja1!$D$4:$D$8</c:f>
              <c:numCache>
                <c:formatCode>0.00</c:formatCode>
                <c:ptCount val="5"/>
                <c:pt idx="0">
                  <c:v>21.333333333333332</c:v>
                </c:pt>
                <c:pt idx="1">
                  <c:v>37.333333333333336</c:v>
                </c:pt>
                <c:pt idx="2">
                  <c:v>29.333333333333332</c:v>
                </c:pt>
                <c:pt idx="3">
                  <c:v>9.3333333333333339</c:v>
                </c:pt>
                <c:pt idx="4">
                  <c:v>2.6666666666666665</c:v>
                </c:pt>
              </c:numCache>
            </c:numRef>
          </c:val>
          <c:extLst>
            <c:ext xmlns:c16="http://schemas.microsoft.com/office/drawing/2014/chart" uri="{C3380CC4-5D6E-409C-BE32-E72D297353CC}">
              <c16:uniqueId val="{00000009-9FBA-4A49-8C04-BDD9929A8CB9}"/>
            </c:ext>
          </c:extLst>
        </c:ser>
        <c:dLbls>
          <c:showLegendKey val="0"/>
          <c:showVal val="0"/>
          <c:showCatName val="0"/>
          <c:showSerName val="0"/>
          <c:showPercent val="0"/>
          <c:showBubbleSize val="0"/>
        </c:dLbls>
        <c:gapWidth val="100"/>
        <c:axId val="-255920912"/>
        <c:axId val="-255926896"/>
        <c:extLst>
          <c:ext xmlns:c15="http://schemas.microsoft.com/office/drawing/2012/chart" uri="{02D57815-91ED-43cb-92C2-25804820EDAC}">
            <c15:filteredBarSeries>
              <c15:ser>
                <c:idx val="0"/>
                <c:order val="0"/>
                <c:tx>
                  <c:strRef>
                    <c:extLst>
                      <c:ext uri="{02D57815-91ED-43cb-92C2-25804820EDAC}">
                        <c15:formulaRef>
                          <c15:sqref>Hoja1!$B$3</c15:sqref>
                        </c15:formulaRef>
                      </c:ext>
                    </c:extLst>
                    <c:strCache>
                      <c:ptCount val="1"/>
                      <c:pt idx="0">
                        <c:v>Frecuencia </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Pt>
                  <c:idx val="0"/>
                  <c:invertIfNegative val="0"/>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extLst>
                    <c:ext xmlns:c16="http://schemas.microsoft.com/office/drawing/2014/chart" uri="{C3380CC4-5D6E-409C-BE32-E72D297353CC}">
                      <c16:uniqueId val="{0000000B-9FBA-4A49-8C04-BDD9929A8CB9}"/>
                    </c:ext>
                  </c:extLst>
                </c:dPt>
                <c:dPt>
                  <c:idx val="1"/>
                  <c:invertIfNegative val="0"/>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extLst>
                    <c:ext xmlns:c16="http://schemas.microsoft.com/office/drawing/2014/chart" uri="{C3380CC4-5D6E-409C-BE32-E72D297353CC}">
                      <c16:uniqueId val="{0000000D-9FBA-4A49-8C04-BDD9929A8CB9}"/>
                    </c:ext>
                  </c:extLst>
                </c:dPt>
                <c:dPt>
                  <c:idx val="2"/>
                  <c:invertIfNegative val="0"/>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extLst>
                    <c:ext xmlns:c16="http://schemas.microsoft.com/office/drawing/2014/chart" uri="{C3380CC4-5D6E-409C-BE32-E72D297353CC}">
                      <c16:uniqueId val="{0000000F-9FBA-4A49-8C04-BDD9929A8CB9}"/>
                    </c:ext>
                  </c:extLst>
                </c:dPt>
                <c:dPt>
                  <c:idx val="3"/>
                  <c:invertIfNegative val="0"/>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extLst>
                    <c:ext xmlns:c16="http://schemas.microsoft.com/office/drawing/2014/chart" uri="{C3380CC4-5D6E-409C-BE32-E72D297353CC}">
                      <c16:uniqueId val="{00000011-9FBA-4A49-8C04-BDD9929A8CB9}"/>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Hoja1!$A$4:$A$8</c15:sqref>
                        </c15:formulaRef>
                      </c:ext>
                    </c:extLst>
                    <c:strCache>
                      <c:ptCount val="5"/>
                      <c:pt idx="0">
                        <c:v>Siempre</c:v>
                      </c:pt>
                      <c:pt idx="1">
                        <c:v>Frecuentemente</c:v>
                      </c:pt>
                      <c:pt idx="2">
                        <c:v>Algunas veces</c:v>
                      </c:pt>
                      <c:pt idx="3">
                        <c:v>Rara vez</c:v>
                      </c:pt>
                      <c:pt idx="4">
                        <c:v>Nunca</c:v>
                      </c:pt>
                    </c:strCache>
                  </c:strRef>
                </c:cat>
                <c:val>
                  <c:numRef>
                    <c:extLst>
                      <c:ext uri="{02D57815-91ED-43cb-92C2-25804820EDAC}">
                        <c15:formulaRef>
                          <c15:sqref>Hoja1!$B$4:$B$8</c15:sqref>
                        </c15:formulaRef>
                      </c:ext>
                    </c:extLst>
                    <c:numCache>
                      <c:formatCode>General</c:formatCode>
                      <c:ptCount val="5"/>
                      <c:pt idx="0">
                        <c:v>16</c:v>
                      </c:pt>
                      <c:pt idx="1">
                        <c:v>28</c:v>
                      </c:pt>
                      <c:pt idx="2">
                        <c:v>22</c:v>
                      </c:pt>
                      <c:pt idx="3">
                        <c:v>7</c:v>
                      </c:pt>
                      <c:pt idx="4">
                        <c:v>2</c:v>
                      </c:pt>
                    </c:numCache>
                  </c:numRef>
                </c:val>
                <c:extLst>
                  <c:ext xmlns:c16="http://schemas.microsoft.com/office/drawing/2014/chart" uri="{C3380CC4-5D6E-409C-BE32-E72D297353CC}">
                    <c16:uniqueId val="{00000012-9FBA-4A49-8C04-BDD9929A8CB9}"/>
                  </c:ext>
                </c:extLst>
              </c15:ser>
            </c15:filteredBarSeries>
          </c:ext>
        </c:extLst>
      </c:barChart>
      <c:catAx>
        <c:axId val="-25592091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C"/>
          </a:p>
        </c:txPr>
        <c:crossAx val="-255926896"/>
        <c:crosses val="autoZero"/>
        <c:auto val="1"/>
        <c:lblAlgn val="ctr"/>
        <c:lblOffset val="100"/>
        <c:noMultiLvlLbl val="0"/>
      </c:catAx>
      <c:valAx>
        <c:axId val="-25592689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crossAx val="-25592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100">
                <a:solidFill>
                  <a:sysClr val="windowText" lastClr="000000"/>
                </a:solidFill>
              </a:rPr>
              <a:t>¿Cuál es el principal propósito por el que usas estas herramientas?</a:t>
            </a:r>
          </a:p>
        </c:rich>
      </c:tx>
      <c:layout>
        <c:manualLayout>
          <c:xMode val="edge"/>
          <c:yMode val="edge"/>
          <c:x val="0.12072638356102923"/>
          <c:y val="2.0356234096692113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EC"/>
        </a:p>
      </c:txPr>
    </c:title>
    <c:autoTitleDeleted val="0"/>
    <c:plotArea>
      <c:layout>
        <c:manualLayout>
          <c:layoutTarget val="inner"/>
          <c:xMode val="edge"/>
          <c:yMode val="edge"/>
          <c:x val="9.3838975256298085E-2"/>
          <c:y val="0.29354851635911922"/>
          <c:w val="0.81232204948740383"/>
          <c:h val="0.48525455310452603"/>
        </c:manualLayout>
      </c:layout>
      <c:barChart>
        <c:barDir val="col"/>
        <c:grouping val="clustered"/>
        <c:varyColors val="0"/>
        <c:ser>
          <c:idx val="1"/>
          <c:order val="1"/>
          <c:tx>
            <c:strRef>
              <c:f>Hoja1!$C$18</c:f>
              <c:strCache>
                <c:ptCount val="1"/>
                <c:pt idx="0">
                  <c:v>Porcentaje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dLbl>
              <c:idx val="0"/>
              <c:tx>
                <c:rich>
                  <a:bodyPr/>
                  <a:lstStyle/>
                  <a:p>
                    <a:fld id="{50BBEFB2-408B-43DB-958C-FE783E7E59DE}"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4E6-4C31-995F-7BEC81A2A1D6}"/>
                </c:ext>
              </c:extLst>
            </c:dLbl>
            <c:dLbl>
              <c:idx val="1"/>
              <c:tx>
                <c:rich>
                  <a:bodyPr/>
                  <a:lstStyle/>
                  <a:p>
                    <a:fld id="{EB7D8861-B9E8-472A-84A7-0916127EDFC0}"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4E6-4C31-995F-7BEC81A2A1D6}"/>
                </c:ext>
              </c:extLst>
            </c:dLbl>
            <c:dLbl>
              <c:idx val="2"/>
              <c:tx>
                <c:rich>
                  <a:bodyPr/>
                  <a:lstStyle/>
                  <a:p>
                    <a:fld id="{136762D7-BD06-4969-8FFD-B623CDFC926E}"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4E6-4C31-995F-7BEC81A2A1D6}"/>
                </c:ext>
              </c:extLst>
            </c:dLbl>
            <c:dLbl>
              <c:idx val="3"/>
              <c:tx>
                <c:rich>
                  <a:bodyPr/>
                  <a:lstStyle/>
                  <a:p>
                    <a:fld id="{DCF40943-7A81-42D9-8418-3D7593297F07}"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4E6-4C31-995F-7BEC81A2A1D6}"/>
                </c:ext>
              </c:extLst>
            </c:dLbl>
            <c:dLbl>
              <c:idx val="4"/>
              <c:tx>
                <c:rich>
                  <a:bodyPr/>
                  <a:lstStyle/>
                  <a:p>
                    <a:fld id="{D837427E-BC35-4D91-98CC-54BE453E765E}"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4E6-4C31-995F-7BEC81A2A1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Hoja1!$A$19:$A$23</c:f>
              <c:strCache>
                <c:ptCount val="5"/>
                <c:pt idx="0">
                  <c:v>Redacción de texto</c:v>
                </c:pt>
                <c:pt idx="1">
                  <c:v>Búsqueda de información</c:v>
                </c:pt>
                <c:pt idx="2">
                  <c:v>Consulta de conceptos</c:v>
                </c:pt>
                <c:pt idx="3">
                  <c:v>Elaboración de ensayos</c:v>
                </c:pt>
                <c:pt idx="4">
                  <c:v>Otro</c:v>
                </c:pt>
              </c:strCache>
            </c:strRef>
          </c:cat>
          <c:val>
            <c:numRef>
              <c:f>Hoja1!$C$19:$C$23</c:f>
              <c:numCache>
                <c:formatCode>0.00</c:formatCode>
                <c:ptCount val="5"/>
                <c:pt idx="0">
                  <c:v>20</c:v>
                </c:pt>
                <c:pt idx="1">
                  <c:v>42.666666666666664</c:v>
                </c:pt>
                <c:pt idx="2">
                  <c:v>16</c:v>
                </c:pt>
                <c:pt idx="3">
                  <c:v>13.333333333333334</c:v>
                </c:pt>
                <c:pt idx="4">
                  <c:v>8</c:v>
                </c:pt>
              </c:numCache>
            </c:numRef>
          </c:val>
          <c:extLst>
            <c:ext xmlns:c16="http://schemas.microsoft.com/office/drawing/2014/chart" uri="{C3380CC4-5D6E-409C-BE32-E72D297353CC}">
              <c16:uniqueId val="{00000005-C4E6-4C31-995F-7BEC81A2A1D6}"/>
            </c:ext>
          </c:extLst>
        </c:ser>
        <c:dLbls>
          <c:showLegendKey val="0"/>
          <c:showVal val="0"/>
          <c:showCatName val="0"/>
          <c:showSerName val="0"/>
          <c:showPercent val="0"/>
          <c:showBubbleSize val="0"/>
        </c:dLbls>
        <c:gapWidth val="100"/>
        <c:axId val="-357039296"/>
        <c:axId val="-357034944"/>
        <c:extLst>
          <c:ext xmlns:c15="http://schemas.microsoft.com/office/drawing/2012/chart" uri="{02D57815-91ED-43cb-92C2-25804820EDAC}">
            <c15:filteredBarSeries>
              <c15:ser>
                <c:idx val="0"/>
                <c:order val="0"/>
                <c:tx>
                  <c:strRef>
                    <c:extLst>
                      <c:ext uri="{02D57815-91ED-43cb-92C2-25804820EDAC}">
                        <c15:formulaRef>
                          <c15:sqref>Hoja1!$B$18</c15:sqref>
                        </c15:formulaRef>
                      </c:ext>
                    </c:extLst>
                    <c:strCache>
                      <c:ptCount val="1"/>
                      <c:pt idx="0">
                        <c:v>Frecuencia</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cat>
                  <c:strRef>
                    <c:extLst>
                      <c:ext uri="{02D57815-91ED-43cb-92C2-25804820EDAC}">
                        <c15:formulaRef>
                          <c15:sqref>Hoja1!$A$19:$A$23</c15:sqref>
                        </c15:formulaRef>
                      </c:ext>
                    </c:extLst>
                    <c:strCache>
                      <c:ptCount val="5"/>
                      <c:pt idx="0">
                        <c:v>Redacción de texto</c:v>
                      </c:pt>
                      <c:pt idx="1">
                        <c:v>Búsqueda de información</c:v>
                      </c:pt>
                      <c:pt idx="2">
                        <c:v>Consulta de conceptos</c:v>
                      </c:pt>
                      <c:pt idx="3">
                        <c:v>Elaboración de ensayos</c:v>
                      </c:pt>
                      <c:pt idx="4">
                        <c:v>Otro</c:v>
                      </c:pt>
                    </c:strCache>
                  </c:strRef>
                </c:cat>
                <c:val>
                  <c:numRef>
                    <c:extLst>
                      <c:ext uri="{02D57815-91ED-43cb-92C2-25804820EDAC}">
                        <c15:formulaRef>
                          <c15:sqref>Hoja1!$B$19:$B$23</c15:sqref>
                        </c15:formulaRef>
                      </c:ext>
                    </c:extLst>
                    <c:numCache>
                      <c:formatCode>General</c:formatCode>
                      <c:ptCount val="5"/>
                      <c:pt idx="0">
                        <c:v>15</c:v>
                      </c:pt>
                      <c:pt idx="1">
                        <c:v>32</c:v>
                      </c:pt>
                      <c:pt idx="2">
                        <c:v>12</c:v>
                      </c:pt>
                      <c:pt idx="3">
                        <c:v>10</c:v>
                      </c:pt>
                      <c:pt idx="4">
                        <c:v>6</c:v>
                      </c:pt>
                    </c:numCache>
                  </c:numRef>
                </c:val>
                <c:extLst>
                  <c:ext xmlns:c16="http://schemas.microsoft.com/office/drawing/2014/chart" uri="{C3380CC4-5D6E-409C-BE32-E72D297353CC}">
                    <c16:uniqueId val="{00000006-C4E6-4C31-995F-7BEC81A2A1D6}"/>
                  </c:ext>
                </c:extLst>
              </c15:ser>
            </c15:filteredBarSeries>
          </c:ext>
        </c:extLst>
      </c:barChart>
      <c:catAx>
        <c:axId val="-35703929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C"/>
          </a:p>
        </c:txPr>
        <c:crossAx val="-357034944"/>
        <c:crosses val="autoZero"/>
        <c:auto val="1"/>
        <c:lblAlgn val="ctr"/>
        <c:lblOffset val="100"/>
        <c:noMultiLvlLbl val="0"/>
      </c:catAx>
      <c:valAx>
        <c:axId val="-35703494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crossAx val="-357039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100">
                <a:solidFill>
                  <a:sysClr val="windowText" lastClr="000000"/>
                </a:solidFill>
              </a:rPr>
              <a:t>¿Consideras que estas herramientas han contribuido al desarrollo de tu pensamiento crítico?</a:t>
            </a:r>
          </a:p>
        </c:rich>
      </c:tx>
      <c:layout>
        <c:manualLayout>
          <c:xMode val="edge"/>
          <c:yMode val="edge"/>
          <c:x val="0.12072638356102923"/>
          <c:y val="2.0356234096692113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EC"/>
        </a:p>
      </c:txPr>
    </c:title>
    <c:autoTitleDeleted val="0"/>
    <c:plotArea>
      <c:layout>
        <c:manualLayout>
          <c:layoutTarget val="inner"/>
          <c:xMode val="edge"/>
          <c:yMode val="edge"/>
          <c:x val="9.3838975256298085E-2"/>
          <c:y val="0.29354851635911922"/>
          <c:w val="0.81232204948740383"/>
          <c:h val="0.48525455310452603"/>
        </c:manualLayout>
      </c:layout>
      <c:barChart>
        <c:barDir val="col"/>
        <c:grouping val="clustered"/>
        <c:varyColors val="0"/>
        <c:ser>
          <c:idx val="1"/>
          <c:order val="1"/>
          <c:tx>
            <c:strRef>
              <c:f>Hoja1!$C$32</c:f>
              <c:strCache>
                <c:ptCount val="1"/>
                <c:pt idx="0">
                  <c:v>Porcentaje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dLbl>
              <c:idx val="0"/>
              <c:tx>
                <c:rich>
                  <a:bodyPr/>
                  <a:lstStyle/>
                  <a:p>
                    <a:fld id="{1AA8ACD7-9BAB-490C-9ED5-B774A194E9A0}"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3DF-468B-8189-0FD20E5D7161}"/>
                </c:ext>
              </c:extLst>
            </c:dLbl>
            <c:dLbl>
              <c:idx val="1"/>
              <c:tx>
                <c:rich>
                  <a:bodyPr/>
                  <a:lstStyle/>
                  <a:p>
                    <a:fld id="{3DB018A3-1D0B-409E-A755-B42BC77EA085}"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3DF-468B-8189-0FD20E5D7161}"/>
                </c:ext>
              </c:extLst>
            </c:dLbl>
            <c:dLbl>
              <c:idx val="2"/>
              <c:tx>
                <c:rich>
                  <a:bodyPr/>
                  <a:lstStyle/>
                  <a:p>
                    <a:fld id="{01FAF5A6-8537-4A59-818D-1B91C20BAC89}"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3DF-468B-8189-0FD20E5D7161}"/>
                </c:ext>
              </c:extLst>
            </c:dLbl>
            <c:dLbl>
              <c:idx val="3"/>
              <c:tx>
                <c:rich>
                  <a:bodyPr/>
                  <a:lstStyle/>
                  <a:p>
                    <a:fld id="{D9863F63-7152-4B35-8EB3-EEFEEC5B6B7D}"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3DF-468B-8189-0FD20E5D7161}"/>
                </c:ext>
              </c:extLst>
            </c:dLbl>
            <c:dLbl>
              <c:idx val="4"/>
              <c:tx>
                <c:rich>
                  <a:bodyPr/>
                  <a:lstStyle/>
                  <a:p>
                    <a:fld id="{DD78ABA7-1C28-468F-A66D-BF8B1EDF4D97}"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3DF-468B-8189-0FD20E5D71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Hoja1!$A$33:$A$37</c:f>
              <c:strCache>
                <c:ptCount val="5"/>
                <c:pt idx="0">
                  <c:v>De forma decisiva</c:v>
                </c:pt>
                <c:pt idx="1">
                  <c:v>Significativamente</c:v>
                </c:pt>
                <c:pt idx="2">
                  <c:v>Moderadamente</c:v>
                </c:pt>
                <c:pt idx="3">
                  <c:v>Ligeramente</c:v>
                </c:pt>
                <c:pt idx="4">
                  <c:v>No han contribuido</c:v>
                </c:pt>
              </c:strCache>
            </c:strRef>
          </c:cat>
          <c:val>
            <c:numRef>
              <c:f>Hoja1!$C$33:$C$37</c:f>
              <c:numCache>
                <c:formatCode>0.00</c:formatCode>
                <c:ptCount val="5"/>
                <c:pt idx="0">
                  <c:v>4</c:v>
                </c:pt>
                <c:pt idx="1">
                  <c:v>12</c:v>
                </c:pt>
                <c:pt idx="2">
                  <c:v>24</c:v>
                </c:pt>
                <c:pt idx="3">
                  <c:v>40</c:v>
                </c:pt>
                <c:pt idx="4">
                  <c:v>20</c:v>
                </c:pt>
              </c:numCache>
            </c:numRef>
          </c:val>
          <c:extLst>
            <c:ext xmlns:c16="http://schemas.microsoft.com/office/drawing/2014/chart" uri="{C3380CC4-5D6E-409C-BE32-E72D297353CC}">
              <c16:uniqueId val="{00000005-A3DF-468B-8189-0FD20E5D7161}"/>
            </c:ext>
          </c:extLst>
        </c:ser>
        <c:dLbls>
          <c:showLegendKey val="0"/>
          <c:showVal val="0"/>
          <c:showCatName val="0"/>
          <c:showSerName val="0"/>
          <c:showPercent val="0"/>
          <c:showBubbleSize val="0"/>
        </c:dLbls>
        <c:gapWidth val="100"/>
        <c:axId val="-357048544"/>
        <c:axId val="-357038208"/>
        <c:extLst>
          <c:ext xmlns:c15="http://schemas.microsoft.com/office/drawing/2012/chart" uri="{02D57815-91ED-43cb-92C2-25804820EDAC}">
            <c15:filteredBarSeries>
              <c15:ser>
                <c:idx val="0"/>
                <c:order val="0"/>
                <c:tx>
                  <c:strRef>
                    <c:extLst>
                      <c:ext uri="{02D57815-91ED-43cb-92C2-25804820EDAC}">
                        <c15:formulaRef>
                          <c15:sqref>Hoja1!$B$32</c15:sqref>
                        </c15:formulaRef>
                      </c:ext>
                    </c:extLst>
                    <c:strCache>
                      <c:ptCount val="1"/>
                      <c:pt idx="0">
                        <c:v>Frecuencia </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cat>
                  <c:strRef>
                    <c:extLst>
                      <c:ext uri="{02D57815-91ED-43cb-92C2-25804820EDAC}">
                        <c15:formulaRef>
                          <c15:sqref>Hoja1!$A$33:$A$37</c15:sqref>
                        </c15:formulaRef>
                      </c:ext>
                    </c:extLst>
                    <c:strCache>
                      <c:ptCount val="5"/>
                      <c:pt idx="0">
                        <c:v>De forma decisiva</c:v>
                      </c:pt>
                      <c:pt idx="1">
                        <c:v>Significativamente</c:v>
                      </c:pt>
                      <c:pt idx="2">
                        <c:v>Moderadamente</c:v>
                      </c:pt>
                      <c:pt idx="3">
                        <c:v>Ligeramente</c:v>
                      </c:pt>
                      <c:pt idx="4">
                        <c:v>No han contribuido</c:v>
                      </c:pt>
                    </c:strCache>
                  </c:strRef>
                </c:cat>
                <c:val>
                  <c:numRef>
                    <c:extLst>
                      <c:ext uri="{02D57815-91ED-43cb-92C2-25804820EDAC}">
                        <c15:formulaRef>
                          <c15:sqref>Hoja1!$B$33:$B$37</c15:sqref>
                        </c15:formulaRef>
                      </c:ext>
                    </c:extLst>
                    <c:numCache>
                      <c:formatCode>General</c:formatCode>
                      <c:ptCount val="5"/>
                      <c:pt idx="0">
                        <c:v>3</c:v>
                      </c:pt>
                      <c:pt idx="1">
                        <c:v>9</c:v>
                      </c:pt>
                      <c:pt idx="2">
                        <c:v>18</c:v>
                      </c:pt>
                      <c:pt idx="3">
                        <c:v>30</c:v>
                      </c:pt>
                      <c:pt idx="4">
                        <c:v>15</c:v>
                      </c:pt>
                    </c:numCache>
                  </c:numRef>
                </c:val>
                <c:extLst>
                  <c:ext xmlns:c16="http://schemas.microsoft.com/office/drawing/2014/chart" uri="{C3380CC4-5D6E-409C-BE32-E72D297353CC}">
                    <c16:uniqueId val="{00000006-A3DF-468B-8189-0FD20E5D7161}"/>
                  </c:ext>
                </c:extLst>
              </c15:ser>
            </c15:filteredBarSeries>
          </c:ext>
        </c:extLst>
      </c:barChart>
      <c:catAx>
        <c:axId val="-35704854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C"/>
          </a:p>
        </c:txPr>
        <c:crossAx val="-357038208"/>
        <c:crosses val="autoZero"/>
        <c:auto val="1"/>
        <c:lblAlgn val="ctr"/>
        <c:lblOffset val="100"/>
        <c:noMultiLvlLbl val="0"/>
      </c:catAx>
      <c:valAx>
        <c:axId val="-35703820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crossAx val="-35704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100">
                <a:solidFill>
                  <a:sysClr val="windowText" lastClr="000000"/>
                </a:solidFill>
              </a:rPr>
              <a:t>¿Qué tan capaz te consideras para identificar fuentes confiables en internet?</a:t>
            </a:r>
          </a:p>
        </c:rich>
      </c:tx>
      <c:layout>
        <c:manualLayout>
          <c:xMode val="edge"/>
          <c:yMode val="edge"/>
          <c:x val="0.12642438925903496"/>
          <c:y val="2.0356174486453656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EC"/>
        </a:p>
      </c:txPr>
    </c:title>
    <c:autoTitleDeleted val="0"/>
    <c:plotArea>
      <c:layout>
        <c:manualLayout>
          <c:layoutTarget val="inner"/>
          <c:xMode val="edge"/>
          <c:yMode val="edge"/>
          <c:x val="9.3838975256298085E-2"/>
          <c:y val="0.29354851635911922"/>
          <c:w val="0.81232204948740383"/>
          <c:h val="0.48525455310452603"/>
        </c:manualLayout>
      </c:layout>
      <c:barChart>
        <c:barDir val="col"/>
        <c:grouping val="clustered"/>
        <c:varyColors val="0"/>
        <c:ser>
          <c:idx val="1"/>
          <c:order val="1"/>
          <c:tx>
            <c:strRef>
              <c:f>Hoja1!$D$47</c:f>
              <c:strCache>
                <c:ptCount val="1"/>
                <c:pt idx="0">
                  <c:v>Porcentaje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dLbl>
              <c:idx val="0"/>
              <c:tx>
                <c:rich>
                  <a:bodyPr/>
                  <a:lstStyle/>
                  <a:p>
                    <a:fld id="{EC7B989E-A0C7-4BF9-A0DF-0962F5DD02B5}"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003-418C-B03D-ADB8B69B3AC9}"/>
                </c:ext>
              </c:extLst>
            </c:dLbl>
            <c:dLbl>
              <c:idx val="1"/>
              <c:tx>
                <c:rich>
                  <a:bodyPr/>
                  <a:lstStyle/>
                  <a:p>
                    <a:fld id="{C590FD2C-CBDA-49D0-AE72-1F7E64806000}" type="VALUE">
                      <a:rPr lang="en-US"/>
                      <a:pPr/>
                      <a:t>[VALOR]</a:t>
                    </a:fld>
                    <a:r>
                      <a:rPr lang="en-US"/>
                      <a:t>&amp;</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003-418C-B03D-ADB8B69B3AC9}"/>
                </c:ext>
              </c:extLst>
            </c:dLbl>
            <c:dLbl>
              <c:idx val="2"/>
              <c:tx>
                <c:rich>
                  <a:bodyPr/>
                  <a:lstStyle/>
                  <a:p>
                    <a:fld id="{D50ECAF6-0B49-42D9-B591-079E63D7A12A}"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003-418C-B03D-ADB8B69B3AC9}"/>
                </c:ext>
              </c:extLst>
            </c:dLbl>
            <c:dLbl>
              <c:idx val="3"/>
              <c:tx>
                <c:rich>
                  <a:bodyPr/>
                  <a:lstStyle/>
                  <a:p>
                    <a:fld id="{DD92F159-9674-4DFF-A38B-361568726FB9}"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003-418C-B03D-ADB8B69B3AC9}"/>
                </c:ext>
              </c:extLst>
            </c:dLbl>
            <c:dLbl>
              <c:idx val="4"/>
              <c:tx>
                <c:rich>
                  <a:bodyPr/>
                  <a:lstStyle/>
                  <a:p>
                    <a:fld id="{142E7A00-C163-4209-A1EF-E0E96FF64C5A}"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003-418C-B03D-ADB8B69B3A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Hoja1!$A$48:$A$52</c:f>
              <c:strCache>
                <c:ptCount val="5"/>
                <c:pt idx="0">
                  <c:v>Totalmente capaz</c:v>
                </c:pt>
                <c:pt idx="1">
                  <c:v>Muy capaz</c:v>
                </c:pt>
                <c:pt idx="2">
                  <c:v>Moderadamente</c:v>
                </c:pt>
                <c:pt idx="3">
                  <c:v>Poco capaz</c:v>
                </c:pt>
                <c:pt idx="4">
                  <c:v>Nada capaz</c:v>
                </c:pt>
              </c:strCache>
            </c:strRef>
          </c:cat>
          <c:val>
            <c:numRef>
              <c:f>Hoja1!$D$48:$D$52</c:f>
              <c:numCache>
                <c:formatCode>0.00</c:formatCode>
                <c:ptCount val="5"/>
                <c:pt idx="0">
                  <c:v>21.333333333333332</c:v>
                </c:pt>
                <c:pt idx="1">
                  <c:v>33.333333333333336</c:v>
                </c:pt>
                <c:pt idx="2">
                  <c:v>36</c:v>
                </c:pt>
                <c:pt idx="3">
                  <c:v>8</c:v>
                </c:pt>
                <c:pt idx="4">
                  <c:v>1.3333333333333333</c:v>
                </c:pt>
              </c:numCache>
            </c:numRef>
          </c:val>
          <c:extLst>
            <c:ext xmlns:c16="http://schemas.microsoft.com/office/drawing/2014/chart" uri="{C3380CC4-5D6E-409C-BE32-E72D297353CC}">
              <c16:uniqueId val="{00000005-5003-418C-B03D-ADB8B69B3AC9}"/>
            </c:ext>
          </c:extLst>
        </c:ser>
        <c:dLbls>
          <c:showLegendKey val="0"/>
          <c:showVal val="0"/>
          <c:showCatName val="0"/>
          <c:showSerName val="0"/>
          <c:showPercent val="0"/>
          <c:showBubbleSize val="0"/>
        </c:dLbls>
        <c:gapWidth val="100"/>
        <c:axId val="-361546336"/>
        <c:axId val="-361545792"/>
        <c:extLst>
          <c:ext xmlns:c15="http://schemas.microsoft.com/office/drawing/2012/chart" uri="{02D57815-91ED-43cb-92C2-25804820EDAC}">
            <c15:filteredBarSeries>
              <c15:ser>
                <c:idx val="0"/>
                <c:order val="0"/>
                <c:tx>
                  <c:strRef>
                    <c:extLst>
                      <c:ext uri="{02D57815-91ED-43cb-92C2-25804820EDAC}">
                        <c15:formulaRef>
                          <c15:sqref>Hoja1!$B$47</c15:sqref>
                        </c15:formulaRef>
                      </c:ext>
                    </c:extLst>
                    <c:strCache>
                      <c:ptCount val="1"/>
                      <c:pt idx="0">
                        <c:v>Frecuencia </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cat>
                  <c:strRef>
                    <c:extLst>
                      <c:ext uri="{02D57815-91ED-43cb-92C2-25804820EDAC}">
                        <c15:formulaRef>
                          <c15:sqref>Hoja1!$A$48:$A$52</c15:sqref>
                        </c15:formulaRef>
                      </c:ext>
                    </c:extLst>
                    <c:strCache>
                      <c:ptCount val="5"/>
                      <c:pt idx="0">
                        <c:v>Totalmente capaz</c:v>
                      </c:pt>
                      <c:pt idx="1">
                        <c:v>Muy capaz</c:v>
                      </c:pt>
                      <c:pt idx="2">
                        <c:v>Moderadamente</c:v>
                      </c:pt>
                      <c:pt idx="3">
                        <c:v>Poco capaz</c:v>
                      </c:pt>
                      <c:pt idx="4">
                        <c:v>Nada capaz</c:v>
                      </c:pt>
                    </c:strCache>
                  </c:strRef>
                </c:cat>
                <c:val>
                  <c:numRef>
                    <c:extLst>
                      <c:ext uri="{02D57815-91ED-43cb-92C2-25804820EDAC}">
                        <c15:formulaRef>
                          <c15:sqref>Hoja1!$B$48:$B$52</c15:sqref>
                        </c15:formulaRef>
                      </c:ext>
                    </c:extLst>
                    <c:numCache>
                      <c:formatCode>General</c:formatCode>
                      <c:ptCount val="5"/>
                      <c:pt idx="0">
                        <c:v>16</c:v>
                      </c:pt>
                      <c:pt idx="1">
                        <c:v>25</c:v>
                      </c:pt>
                      <c:pt idx="2">
                        <c:v>27</c:v>
                      </c:pt>
                      <c:pt idx="3">
                        <c:v>6</c:v>
                      </c:pt>
                      <c:pt idx="4">
                        <c:v>1</c:v>
                      </c:pt>
                    </c:numCache>
                  </c:numRef>
                </c:val>
                <c:extLst>
                  <c:ext xmlns:c16="http://schemas.microsoft.com/office/drawing/2014/chart" uri="{C3380CC4-5D6E-409C-BE32-E72D297353CC}">
                    <c16:uniqueId val="{00000006-5003-418C-B03D-ADB8B69B3AC9}"/>
                  </c:ext>
                </c:extLst>
              </c15:ser>
            </c15:filteredBarSeries>
          </c:ext>
        </c:extLst>
      </c:barChart>
      <c:catAx>
        <c:axId val="-36154633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C"/>
          </a:p>
        </c:txPr>
        <c:crossAx val="-361545792"/>
        <c:crosses val="autoZero"/>
        <c:auto val="1"/>
        <c:lblAlgn val="ctr"/>
        <c:lblOffset val="100"/>
        <c:noMultiLvlLbl val="0"/>
      </c:catAx>
      <c:valAx>
        <c:axId val="-36154579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crossAx val="-361546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100">
                <a:solidFill>
                  <a:sysClr val="windowText" lastClr="000000"/>
                </a:solidFill>
              </a:rPr>
              <a:t>¿Crees que tus habilidades para analizar información y argumentar con coherencia han mejorado con el uso de inteligencia generativa?</a:t>
            </a:r>
          </a:p>
        </c:rich>
      </c:tx>
      <c:layout>
        <c:manualLayout>
          <c:xMode val="edge"/>
          <c:yMode val="edge"/>
          <c:x val="0.12642438925903496"/>
          <c:y val="2.0356174486453656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EC"/>
        </a:p>
      </c:txPr>
    </c:title>
    <c:autoTitleDeleted val="0"/>
    <c:plotArea>
      <c:layout>
        <c:manualLayout>
          <c:layoutTarget val="inner"/>
          <c:xMode val="edge"/>
          <c:yMode val="edge"/>
          <c:x val="9.3838975256298085E-2"/>
          <c:y val="0.29354851635911922"/>
          <c:w val="0.81232204948740383"/>
          <c:h val="0.48525455310452603"/>
        </c:manualLayout>
      </c:layout>
      <c:barChart>
        <c:barDir val="col"/>
        <c:grouping val="clustered"/>
        <c:varyColors val="0"/>
        <c:ser>
          <c:idx val="1"/>
          <c:order val="1"/>
          <c:tx>
            <c:strRef>
              <c:f>Hoja1!$C$63</c:f>
              <c:strCache>
                <c:ptCount val="1"/>
                <c:pt idx="0">
                  <c:v>Porcentaje</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dLbl>
              <c:idx val="0"/>
              <c:tx>
                <c:rich>
                  <a:bodyPr/>
                  <a:lstStyle/>
                  <a:p>
                    <a:fld id="{00411D5D-142E-4840-9BD7-2EC9E9AE4971}"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679-470E-B1FA-4BA5A4E0C55A}"/>
                </c:ext>
              </c:extLst>
            </c:dLbl>
            <c:dLbl>
              <c:idx val="1"/>
              <c:tx>
                <c:rich>
                  <a:bodyPr/>
                  <a:lstStyle/>
                  <a:p>
                    <a:fld id="{89F883B1-D163-4902-8F2D-89A55FABE80D}"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679-470E-B1FA-4BA5A4E0C55A}"/>
                </c:ext>
              </c:extLst>
            </c:dLbl>
            <c:dLbl>
              <c:idx val="2"/>
              <c:tx>
                <c:rich>
                  <a:bodyPr/>
                  <a:lstStyle/>
                  <a:p>
                    <a:fld id="{7E86CEF2-FAC0-4C73-A7EE-E8C55E2AA193}"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679-470E-B1FA-4BA5A4E0C55A}"/>
                </c:ext>
              </c:extLst>
            </c:dLbl>
            <c:dLbl>
              <c:idx val="3"/>
              <c:tx>
                <c:rich>
                  <a:bodyPr/>
                  <a:lstStyle/>
                  <a:p>
                    <a:fld id="{1150C1E3-8E0B-4D4F-A788-35287A9C9082}"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679-470E-B1FA-4BA5A4E0C55A}"/>
                </c:ext>
              </c:extLst>
            </c:dLbl>
            <c:dLbl>
              <c:idx val="4"/>
              <c:tx>
                <c:rich>
                  <a:bodyPr/>
                  <a:lstStyle/>
                  <a:p>
                    <a:fld id="{4365C2EC-D3C6-4573-96F2-9DD446F9F6C8}"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679-470E-B1FA-4BA5A4E0C5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Hoja1!$A$64:$A$68</c:f>
              <c:strCache>
                <c:ptCount val="5"/>
                <c:pt idx="0">
                  <c:v>Significativamente</c:v>
                </c:pt>
                <c:pt idx="1">
                  <c:v>Han mejorado bastante</c:v>
                </c:pt>
                <c:pt idx="2">
                  <c:v>Moderadamente</c:v>
                </c:pt>
                <c:pt idx="3">
                  <c:v>Han mejorado poco</c:v>
                </c:pt>
                <c:pt idx="4">
                  <c:v>No han mejorado</c:v>
                </c:pt>
              </c:strCache>
            </c:strRef>
          </c:cat>
          <c:val>
            <c:numRef>
              <c:f>Hoja1!$C$64:$C$68</c:f>
              <c:numCache>
                <c:formatCode>0.00</c:formatCode>
                <c:ptCount val="5"/>
                <c:pt idx="0">
                  <c:v>20</c:v>
                </c:pt>
                <c:pt idx="1">
                  <c:v>41.333333333333336</c:v>
                </c:pt>
                <c:pt idx="2">
                  <c:v>22.666666666666668</c:v>
                </c:pt>
                <c:pt idx="3">
                  <c:v>10.666666666666666</c:v>
                </c:pt>
                <c:pt idx="4">
                  <c:v>5.333333333333333</c:v>
                </c:pt>
              </c:numCache>
            </c:numRef>
          </c:val>
          <c:extLst>
            <c:ext xmlns:c16="http://schemas.microsoft.com/office/drawing/2014/chart" uri="{C3380CC4-5D6E-409C-BE32-E72D297353CC}">
              <c16:uniqueId val="{00000005-6679-470E-B1FA-4BA5A4E0C55A}"/>
            </c:ext>
          </c:extLst>
        </c:ser>
        <c:dLbls>
          <c:showLegendKey val="0"/>
          <c:showVal val="0"/>
          <c:showCatName val="0"/>
          <c:showSerName val="0"/>
          <c:showPercent val="0"/>
          <c:showBubbleSize val="0"/>
        </c:dLbls>
        <c:gapWidth val="100"/>
        <c:axId val="-358398384"/>
        <c:axId val="-358395664"/>
        <c:extLst>
          <c:ext xmlns:c15="http://schemas.microsoft.com/office/drawing/2012/chart" uri="{02D57815-91ED-43cb-92C2-25804820EDAC}">
            <c15:filteredBarSeries>
              <c15:ser>
                <c:idx val="0"/>
                <c:order val="0"/>
                <c:tx>
                  <c:strRef>
                    <c:extLst>
                      <c:ext uri="{02D57815-91ED-43cb-92C2-25804820EDAC}">
                        <c15:formulaRef>
                          <c15:sqref>Hoja1!$B$63</c15:sqref>
                        </c15:formulaRef>
                      </c:ext>
                    </c:extLst>
                    <c:strCache>
                      <c:ptCount val="1"/>
                      <c:pt idx="0">
                        <c:v>Frecuencia </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cat>
                  <c:strRef>
                    <c:extLst>
                      <c:ext uri="{02D57815-91ED-43cb-92C2-25804820EDAC}">
                        <c15:formulaRef>
                          <c15:sqref>Hoja1!$A$64:$A$68</c15:sqref>
                        </c15:formulaRef>
                      </c:ext>
                    </c:extLst>
                    <c:strCache>
                      <c:ptCount val="5"/>
                      <c:pt idx="0">
                        <c:v>Significativamente</c:v>
                      </c:pt>
                      <c:pt idx="1">
                        <c:v>Han mejorado bastante</c:v>
                      </c:pt>
                      <c:pt idx="2">
                        <c:v>Moderadamente</c:v>
                      </c:pt>
                      <c:pt idx="3">
                        <c:v>Han mejorado poco</c:v>
                      </c:pt>
                      <c:pt idx="4">
                        <c:v>No han mejorado</c:v>
                      </c:pt>
                    </c:strCache>
                  </c:strRef>
                </c:cat>
                <c:val>
                  <c:numRef>
                    <c:extLst>
                      <c:ext uri="{02D57815-91ED-43cb-92C2-25804820EDAC}">
                        <c15:formulaRef>
                          <c15:sqref>Hoja1!$B$64:$B$68</c15:sqref>
                        </c15:formulaRef>
                      </c:ext>
                    </c:extLst>
                    <c:numCache>
                      <c:formatCode>General</c:formatCode>
                      <c:ptCount val="5"/>
                      <c:pt idx="0">
                        <c:v>15</c:v>
                      </c:pt>
                      <c:pt idx="1">
                        <c:v>31</c:v>
                      </c:pt>
                      <c:pt idx="2">
                        <c:v>17</c:v>
                      </c:pt>
                      <c:pt idx="3">
                        <c:v>8</c:v>
                      </c:pt>
                      <c:pt idx="4">
                        <c:v>4</c:v>
                      </c:pt>
                    </c:numCache>
                  </c:numRef>
                </c:val>
                <c:extLst>
                  <c:ext xmlns:c16="http://schemas.microsoft.com/office/drawing/2014/chart" uri="{C3380CC4-5D6E-409C-BE32-E72D297353CC}">
                    <c16:uniqueId val="{00000006-6679-470E-B1FA-4BA5A4E0C55A}"/>
                  </c:ext>
                </c:extLst>
              </c15:ser>
            </c15:filteredBarSeries>
          </c:ext>
        </c:extLst>
      </c:barChart>
      <c:catAx>
        <c:axId val="-35839838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C"/>
          </a:p>
        </c:txPr>
        <c:crossAx val="-358395664"/>
        <c:crosses val="autoZero"/>
        <c:auto val="1"/>
        <c:lblAlgn val="ctr"/>
        <c:lblOffset val="100"/>
        <c:noMultiLvlLbl val="0"/>
      </c:catAx>
      <c:valAx>
        <c:axId val="-35839566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crossAx val="-35839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100">
                <a:solidFill>
                  <a:sysClr val="windowText" lastClr="000000"/>
                </a:solidFill>
              </a:rPr>
              <a:t>Nivel de Pensamiento</a:t>
            </a:r>
            <a:r>
              <a:rPr lang="en-US" sz="1100" baseline="0">
                <a:solidFill>
                  <a:sysClr val="windowText" lastClr="000000"/>
                </a:solidFill>
              </a:rPr>
              <a:t> Crítico</a:t>
            </a:r>
            <a:endParaRPr lang="en-US" sz="1100">
              <a:solidFill>
                <a:sysClr val="windowText" lastClr="000000"/>
              </a:solidFill>
            </a:endParaRPr>
          </a:p>
        </c:rich>
      </c:tx>
      <c:layout>
        <c:manualLayout>
          <c:xMode val="edge"/>
          <c:yMode val="edge"/>
          <c:x val="0.32015658299122868"/>
          <c:y val="6.4433309472679556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EC"/>
        </a:p>
      </c:txPr>
    </c:title>
    <c:autoTitleDeleted val="0"/>
    <c:plotArea>
      <c:layout>
        <c:manualLayout>
          <c:layoutTarget val="inner"/>
          <c:xMode val="edge"/>
          <c:yMode val="edge"/>
          <c:x val="0.11091471356902161"/>
          <c:y val="0.20140750698845575"/>
          <c:w val="0.81232204948740383"/>
          <c:h val="0.54487506134903874"/>
        </c:manualLayout>
      </c:layout>
      <c:barChart>
        <c:barDir val="col"/>
        <c:grouping val="clustered"/>
        <c:varyColors val="0"/>
        <c:ser>
          <c:idx val="1"/>
          <c:order val="1"/>
          <c:tx>
            <c:strRef>
              <c:f>Hoja1!$C$79:$C$80</c:f>
              <c:strCache>
                <c:ptCount val="2"/>
                <c:pt idx="0">
                  <c:v>Bajo (&lt;=40%)</c:v>
                </c:pt>
                <c:pt idx="1">
                  <c:v>%</c:v>
                </c:pt>
              </c:strCache>
            </c:strRef>
          </c:tx>
          <c:spPr>
            <a:gradFill rotWithShape="1">
              <a:gsLst>
                <a:gs pos="0">
                  <a:schemeClr val="accent1">
                    <a:tint val="70000"/>
                    <a:satMod val="103000"/>
                    <a:lumMod val="102000"/>
                    <a:tint val="94000"/>
                  </a:schemeClr>
                </a:gs>
                <a:gs pos="50000">
                  <a:schemeClr val="accent1">
                    <a:tint val="70000"/>
                    <a:satMod val="110000"/>
                    <a:lumMod val="100000"/>
                    <a:shade val="100000"/>
                  </a:schemeClr>
                </a:gs>
                <a:gs pos="100000">
                  <a:schemeClr val="accent1">
                    <a:tint val="70000"/>
                    <a:lumMod val="99000"/>
                    <a:satMod val="120000"/>
                    <a:shade val="78000"/>
                  </a:schemeClr>
                </a:gs>
              </a:gsLst>
              <a:lin ang="5400000" scaled="0"/>
            </a:gradFill>
            <a:ln>
              <a:noFill/>
            </a:ln>
            <a:effectLst/>
          </c:spPr>
          <c:invertIfNegative val="0"/>
          <c:dLbls>
            <c:dLbl>
              <c:idx val="0"/>
              <c:layout>
                <c:manualLayout>
                  <c:x val="-1.7094017094017096E-2"/>
                  <c:y val="0"/>
                </c:manualLayout>
              </c:layout>
              <c:tx>
                <c:rich>
                  <a:bodyPr/>
                  <a:lstStyle/>
                  <a:p>
                    <a:fld id="{41DC2CD6-FED1-482A-A4E1-CD4A49AC414C}"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C18-433C-B5B2-D4775E02F7E9}"/>
                </c:ext>
              </c:extLst>
            </c:dLbl>
            <c:dLbl>
              <c:idx val="1"/>
              <c:layout>
                <c:manualLayout>
                  <c:x val="-1.4245014245014245E-2"/>
                  <c:y val="5.0890585241730284E-3"/>
                </c:manualLayout>
              </c:layout>
              <c:tx>
                <c:rich>
                  <a:bodyPr/>
                  <a:lstStyle/>
                  <a:p>
                    <a:fld id="{1C9B7632-6565-4CD7-A079-0AFC8058CE1A}"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C18-433C-B5B2-D4775E02F7E9}"/>
                </c:ext>
              </c:extLst>
            </c:dLbl>
            <c:dLbl>
              <c:idx val="2"/>
              <c:layout>
                <c:manualLayout>
                  <c:x val="-1.4245014245014349E-2"/>
                  <c:y val="0"/>
                </c:manualLayout>
              </c:layout>
              <c:tx>
                <c:rich>
                  <a:bodyPr/>
                  <a:lstStyle/>
                  <a:p>
                    <a:fld id="{3874ED26-8413-4F1A-B239-385F567F7209}"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C18-433C-B5B2-D4775E02F7E9}"/>
                </c:ext>
              </c:extLst>
            </c:dLbl>
            <c:dLbl>
              <c:idx val="3"/>
              <c:layout>
                <c:manualLayout>
                  <c:x val="-8.5470085470085479E-3"/>
                  <c:y val="-9.3298328486253379E-17"/>
                </c:manualLayout>
              </c:layout>
              <c:tx>
                <c:rich>
                  <a:bodyPr/>
                  <a:lstStyle/>
                  <a:p>
                    <a:fld id="{79F9E85C-876A-4158-9FAA-29048FD6B9DC}"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C18-433C-B5B2-D4775E02F7E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Hoja1!$A$81:$A$84</c:f>
              <c:strCache>
                <c:ptCount val="4"/>
                <c:pt idx="0">
                  <c:v>Inferencias lógicas</c:v>
                </c:pt>
                <c:pt idx="1">
                  <c:v>Reconocimiento de supuestos</c:v>
                </c:pt>
                <c:pt idx="2">
                  <c:v>Argumentación</c:v>
                </c:pt>
                <c:pt idx="3">
                  <c:v>Deducción y evaluación de conclusiones</c:v>
                </c:pt>
              </c:strCache>
            </c:strRef>
          </c:cat>
          <c:val>
            <c:numRef>
              <c:f>Hoja1!$C$81:$C$84</c:f>
              <c:numCache>
                <c:formatCode>0.00</c:formatCode>
                <c:ptCount val="4"/>
                <c:pt idx="0">
                  <c:v>16</c:v>
                </c:pt>
                <c:pt idx="1">
                  <c:v>24</c:v>
                </c:pt>
                <c:pt idx="2">
                  <c:v>13.333333333333334</c:v>
                </c:pt>
                <c:pt idx="3">
                  <c:v>18.666666666666668</c:v>
                </c:pt>
              </c:numCache>
            </c:numRef>
          </c:val>
          <c:extLst>
            <c:ext xmlns:c16="http://schemas.microsoft.com/office/drawing/2014/chart" uri="{C3380CC4-5D6E-409C-BE32-E72D297353CC}">
              <c16:uniqueId val="{00000004-BC18-433C-B5B2-D4775E02F7E9}"/>
            </c:ext>
          </c:extLst>
        </c:ser>
        <c:ser>
          <c:idx val="3"/>
          <c:order val="3"/>
          <c:tx>
            <c:strRef>
              <c:f>Hoja1!$E$79:$E$80</c:f>
              <c:strCache>
                <c:ptCount val="2"/>
                <c:pt idx="0">
                  <c:v>Medio (41-70%)</c:v>
                </c:pt>
                <c:pt idx="1">
                  <c:v>%</c:v>
                </c:pt>
              </c:strCache>
            </c:strRef>
          </c:tx>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c:spPr>
          <c:invertIfNegative val="0"/>
          <c:dLbls>
            <c:dLbl>
              <c:idx val="0"/>
              <c:tx>
                <c:rich>
                  <a:bodyPr/>
                  <a:lstStyle/>
                  <a:p>
                    <a:fld id="{B7085D0D-780C-4DA8-B4F3-E20C9B88AC50}"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C18-433C-B5B2-D4775E02F7E9}"/>
                </c:ext>
              </c:extLst>
            </c:dLbl>
            <c:dLbl>
              <c:idx val="1"/>
              <c:tx>
                <c:rich>
                  <a:bodyPr/>
                  <a:lstStyle/>
                  <a:p>
                    <a:fld id="{4D30D9B0-D8F4-44DE-A38E-DC6019E65BAA}"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C18-433C-B5B2-D4775E02F7E9}"/>
                </c:ext>
              </c:extLst>
            </c:dLbl>
            <c:dLbl>
              <c:idx val="2"/>
              <c:tx>
                <c:rich>
                  <a:bodyPr/>
                  <a:lstStyle/>
                  <a:p>
                    <a:fld id="{7A7AF166-184D-4DC0-A742-11C68F15651F}"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C18-433C-B5B2-D4775E02F7E9}"/>
                </c:ext>
              </c:extLst>
            </c:dLbl>
            <c:dLbl>
              <c:idx val="3"/>
              <c:tx>
                <c:rich>
                  <a:bodyPr/>
                  <a:lstStyle/>
                  <a:p>
                    <a:fld id="{F7AEB80B-BEAB-429D-97B3-641518A73AEE}"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C18-433C-B5B2-D4775E02F7E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Hoja1!$A$81:$A$84</c:f>
              <c:strCache>
                <c:ptCount val="4"/>
                <c:pt idx="0">
                  <c:v>Inferencias lógicas</c:v>
                </c:pt>
                <c:pt idx="1">
                  <c:v>Reconocimiento de supuestos</c:v>
                </c:pt>
                <c:pt idx="2">
                  <c:v>Argumentación</c:v>
                </c:pt>
                <c:pt idx="3">
                  <c:v>Deducción y evaluación de conclusiones</c:v>
                </c:pt>
              </c:strCache>
            </c:strRef>
          </c:cat>
          <c:val>
            <c:numRef>
              <c:f>Hoja1!$E$81:$E$84</c:f>
              <c:numCache>
                <c:formatCode>0.00</c:formatCode>
                <c:ptCount val="4"/>
                <c:pt idx="0">
                  <c:v>56</c:v>
                </c:pt>
                <c:pt idx="1">
                  <c:v>52</c:v>
                </c:pt>
                <c:pt idx="2">
                  <c:v>60</c:v>
                </c:pt>
                <c:pt idx="3">
                  <c:v>48</c:v>
                </c:pt>
              </c:numCache>
            </c:numRef>
          </c:val>
          <c:extLst>
            <c:ext xmlns:c16="http://schemas.microsoft.com/office/drawing/2014/chart" uri="{C3380CC4-5D6E-409C-BE32-E72D297353CC}">
              <c16:uniqueId val="{00000009-BC18-433C-B5B2-D4775E02F7E9}"/>
            </c:ext>
          </c:extLst>
        </c:ser>
        <c:ser>
          <c:idx val="5"/>
          <c:order val="5"/>
          <c:tx>
            <c:strRef>
              <c:f>Hoja1!$G$79:$G$80</c:f>
              <c:strCache>
                <c:ptCount val="2"/>
                <c:pt idx="0">
                  <c:v>Alto (&gt;70%)</c:v>
                </c:pt>
                <c:pt idx="1">
                  <c:v>%</c:v>
                </c:pt>
              </c:strCache>
            </c:strRef>
          </c:tx>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c:spPr>
          <c:invertIfNegative val="0"/>
          <c:dLbls>
            <c:dLbl>
              <c:idx val="0"/>
              <c:layout>
                <c:manualLayout>
                  <c:x val="2.2792022792022765E-2"/>
                  <c:y val="-1.017811704834601E-2"/>
                </c:manualLayout>
              </c:layout>
              <c:tx>
                <c:rich>
                  <a:bodyPr/>
                  <a:lstStyle/>
                  <a:p>
                    <a:fld id="{8776B37D-2A56-473B-B105-E4C72B0976C8}"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C18-433C-B5B2-D4775E02F7E9}"/>
                </c:ext>
              </c:extLst>
            </c:dLbl>
            <c:dLbl>
              <c:idx val="1"/>
              <c:layout>
                <c:manualLayout>
                  <c:x val="1.7094017094017096E-2"/>
                  <c:y val="-1.0178117048346057E-2"/>
                </c:manualLayout>
              </c:layout>
              <c:tx>
                <c:rich>
                  <a:bodyPr/>
                  <a:lstStyle/>
                  <a:p>
                    <a:fld id="{308C2747-A33D-4200-9E64-9CF9B770AB37}"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C18-433C-B5B2-D4775E02F7E9}"/>
                </c:ext>
              </c:extLst>
            </c:dLbl>
            <c:dLbl>
              <c:idx val="2"/>
              <c:layout>
                <c:manualLayout>
                  <c:x val="8.5470085470085479E-3"/>
                  <c:y val="-9.3298328486253379E-17"/>
                </c:manualLayout>
              </c:layout>
              <c:tx>
                <c:rich>
                  <a:bodyPr/>
                  <a:lstStyle/>
                  <a:p>
                    <a:fld id="{D19A651C-21D8-4EC2-A93C-29B572FFE570}"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C18-433C-B5B2-D4775E02F7E9}"/>
                </c:ext>
              </c:extLst>
            </c:dLbl>
            <c:dLbl>
              <c:idx val="3"/>
              <c:layout>
                <c:manualLayout>
                  <c:x val="9.6319851044259427E-3"/>
                  <c:y val="2.0035663480996172E-7"/>
                </c:manualLayout>
              </c:layout>
              <c:tx>
                <c:rich>
                  <a:bodyPr/>
                  <a:lstStyle/>
                  <a:p>
                    <a:fld id="{6D61E9C2-3C47-4264-A50E-8FEF1899FF04}"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9.4933485878367765E-2"/>
                      <c:h val="7.1170683817194588E-2"/>
                    </c:manualLayout>
                  </c15:layout>
                  <c15:dlblFieldTable/>
                  <c15:showDataLabelsRange val="0"/>
                </c:ext>
                <c:ext xmlns:c16="http://schemas.microsoft.com/office/drawing/2014/chart" uri="{C3380CC4-5D6E-409C-BE32-E72D297353CC}">
                  <c16:uniqueId val="{0000000D-BC18-433C-B5B2-D4775E02F7E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Hoja1!$A$81:$A$84</c:f>
              <c:strCache>
                <c:ptCount val="4"/>
                <c:pt idx="0">
                  <c:v>Inferencias lógicas</c:v>
                </c:pt>
                <c:pt idx="1">
                  <c:v>Reconocimiento de supuestos</c:v>
                </c:pt>
                <c:pt idx="2">
                  <c:v>Argumentación</c:v>
                </c:pt>
                <c:pt idx="3">
                  <c:v>Deducción y evaluación de conclusiones</c:v>
                </c:pt>
              </c:strCache>
            </c:strRef>
          </c:cat>
          <c:val>
            <c:numRef>
              <c:f>Hoja1!$G$81:$G$84</c:f>
              <c:numCache>
                <c:formatCode>0.00</c:formatCode>
                <c:ptCount val="4"/>
                <c:pt idx="0">
                  <c:v>28</c:v>
                </c:pt>
                <c:pt idx="1">
                  <c:v>24</c:v>
                </c:pt>
                <c:pt idx="2">
                  <c:v>26.666666666666668</c:v>
                </c:pt>
                <c:pt idx="3">
                  <c:v>33.333333333333336</c:v>
                </c:pt>
              </c:numCache>
            </c:numRef>
          </c:val>
          <c:extLst>
            <c:ext xmlns:c16="http://schemas.microsoft.com/office/drawing/2014/chart" uri="{C3380CC4-5D6E-409C-BE32-E72D297353CC}">
              <c16:uniqueId val="{0000000E-BC18-433C-B5B2-D4775E02F7E9}"/>
            </c:ext>
          </c:extLst>
        </c:ser>
        <c:dLbls>
          <c:showLegendKey val="0"/>
          <c:showVal val="0"/>
          <c:showCatName val="0"/>
          <c:showSerName val="0"/>
          <c:showPercent val="0"/>
          <c:showBubbleSize val="0"/>
        </c:dLbls>
        <c:gapWidth val="100"/>
        <c:axId val="-262225152"/>
        <c:axId val="-262226240"/>
        <c:extLst>
          <c:ext xmlns:c15="http://schemas.microsoft.com/office/drawing/2012/chart" uri="{02D57815-91ED-43cb-92C2-25804820EDAC}">
            <c15:filteredBarSeries>
              <c15:ser>
                <c:idx val="0"/>
                <c:order val="0"/>
                <c:tx>
                  <c:strRef>
                    <c:extLst>
                      <c:ext uri="{02D57815-91ED-43cb-92C2-25804820EDAC}">
                        <c15:formulaRef>
                          <c15:sqref>Hoja1!$B$79:$B$80</c15:sqref>
                        </c15:formulaRef>
                      </c:ext>
                    </c:extLst>
                    <c:strCache>
                      <c:ptCount val="2"/>
                      <c:pt idx="0">
                        <c:v>Bajo (&lt;=40%)</c:v>
                      </c:pt>
                      <c:pt idx="1">
                        <c:v>N°</c:v>
                      </c:pt>
                    </c:strCache>
                  </c:strRef>
                </c:tx>
                <c:spPr>
                  <a:gradFill rotWithShape="1">
                    <a:gsLst>
                      <a:gs pos="0">
                        <a:schemeClr val="accent1">
                          <a:tint val="50000"/>
                          <a:satMod val="103000"/>
                          <a:lumMod val="102000"/>
                          <a:tint val="94000"/>
                        </a:schemeClr>
                      </a:gs>
                      <a:gs pos="50000">
                        <a:schemeClr val="accent1">
                          <a:tint val="50000"/>
                          <a:satMod val="110000"/>
                          <a:lumMod val="100000"/>
                          <a:shade val="100000"/>
                        </a:schemeClr>
                      </a:gs>
                      <a:gs pos="100000">
                        <a:schemeClr val="accent1">
                          <a:tint val="5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Hoja1!$A$81:$A$84</c15:sqref>
                        </c15:formulaRef>
                      </c:ext>
                    </c:extLst>
                    <c:strCache>
                      <c:ptCount val="4"/>
                      <c:pt idx="0">
                        <c:v>Inferencias lógicas</c:v>
                      </c:pt>
                      <c:pt idx="1">
                        <c:v>Reconocimiento de supuestos</c:v>
                      </c:pt>
                      <c:pt idx="2">
                        <c:v>Argumentación</c:v>
                      </c:pt>
                      <c:pt idx="3">
                        <c:v>Deducción y evaluación de conclusiones</c:v>
                      </c:pt>
                    </c:strCache>
                  </c:strRef>
                </c:cat>
                <c:val>
                  <c:numRef>
                    <c:extLst>
                      <c:ext uri="{02D57815-91ED-43cb-92C2-25804820EDAC}">
                        <c15:formulaRef>
                          <c15:sqref>Hoja1!$B$81:$B$84</c15:sqref>
                        </c15:formulaRef>
                      </c:ext>
                    </c:extLst>
                    <c:numCache>
                      <c:formatCode>General</c:formatCode>
                      <c:ptCount val="4"/>
                      <c:pt idx="0">
                        <c:v>12</c:v>
                      </c:pt>
                      <c:pt idx="1">
                        <c:v>18</c:v>
                      </c:pt>
                      <c:pt idx="2">
                        <c:v>10</c:v>
                      </c:pt>
                      <c:pt idx="3">
                        <c:v>14</c:v>
                      </c:pt>
                    </c:numCache>
                  </c:numRef>
                </c:val>
                <c:extLst>
                  <c:ext xmlns:c16="http://schemas.microsoft.com/office/drawing/2014/chart" uri="{C3380CC4-5D6E-409C-BE32-E72D297353CC}">
                    <c16:uniqueId val="{0000000F-BC18-433C-B5B2-D4775E02F7E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Hoja1!$D$79:$D$80</c15:sqref>
                        </c15:formulaRef>
                      </c:ext>
                    </c:extLst>
                    <c:strCache>
                      <c:ptCount val="2"/>
                      <c:pt idx="0">
                        <c:v>Medio (41-70%)</c:v>
                      </c:pt>
                      <c:pt idx="1">
                        <c:v>N°</c:v>
                      </c:pt>
                    </c:strCache>
                  </c:strRef>
                </c:tx>
                <c:spPr>
                  <a:gradFill rotWithShape="1">
                    <a:gsLst>
                      <a:gs pos="0">
                        <a:schemeClr val="accent1">
                          <a:tint val="90000"/>
                          <a:satMod val="103000"/>
                          <a:lumMod val="102000"/>
                          <a:tint val="94000"/>
                        </a:schemeClr>
                      </a:gs>
                      <a:gs pos="50000">
                        <a:schemeClr val="accent1">
                          <a:tint val="90000"/>
                          <a:satMod val="110000"/>
                          <a:lumMod val="100000"/>
                          <a:shade val="100000"/>
                        </a:schemeClr>
                      </a:gs>
                      <a:gs pos="100000">
                        <a:schemeClr val="accent1">
                          <a:tint val="9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Hoja1!$A$81:$A$84</c15:sqref>
                        </c15:formulaRef>
                      </c:ext>
                    </c:extLst>
                    <c:strCache>
                      <c:ptCount val="4"/>
                      <c:pt idx="0">
                        <c:v>Inferencias lógicas</c:v>
                      </c:pt>
                      <c:pt idx="1">
                        <c:v>Reconocimiento de supuestos</c:v>
                      </c:pt>
                      <c:pt idx="2">
                        <c:v>Argumentación</c:v>
                      </c:pt>
                      <c:pt idx="3">
                        <c:v>Deducción y evaluación de conclusiones</c:v>
                      </c:pt>
                    </c:strCache>
                  </c:strRef>
                </c:cat>
                <c:val>
                  <c:numRef>
                    <c:extLst xmlns:c15="http://schemas.microsoft.com/office/drawing/2012/chart">
                      <c:ext xmlns:c15="http://schemas.microsoft.com/office/drawing/2012/chart" uri="{02D57815-91ED-43cb-92C2-25804820EDAC}">
                        <c15:formulaRef>
                          <c15:sqref>Hoja1!$D$81:$D$84</c15:sqref>
                        </c15:formulaRef>
                      </c:ext>
                    </c:extLst>
                    <c:numCache>
                      <c:formatCode>General</c:formatCode>
                      <c:ptCount val="4"/>
                      <c:pt idx="0">
                        <c:v>42</c:v>
                      </c:pt>
                      <c:pt idx="1">
                        <c:v>39</c:v>
                      </c:pt>
                      <c:pt idx="2">
                        <c:v>45</c:v>
                      </c:pt>
                      <c:pt idx="3">
                        <c:v>36</c:v>
                      </c:pt>
                    </c:numCache>
                  </c:numRef>
                </c:val>
                <c:extLst xmlns:c15="http://schemas.microsoft.com/office/drawing/2012/chart">
                  <c:ext xmlns:c16="http://schemas.microsoft.com/office/drawing/2014/chart" uri="{C3380CC4-5D6E-409C-BE32-E72D297353CC}">
                    <c16:uniqueId val="{00000010-BC18-433C-B5B2-D4775E02F7E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Hoja1!$F$79:$F$80</c15:sqref>
                        </c15:formulaRef>
                      </c:ext>
                    </c:extLst>
                    <c:strCache>
                      <c:ptCount val="2"/>
                      <c:pt idx="0">
                        <c:v>Alto (&gt;70%)</c:v>
                      </c:pt>
                      <c:pt idx="1">
                        <c:v>N°</c:v>
                      </c:pt>
                    </c:strCache>
                  </c:strRef>
                </c:tx>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Hoja1!$A$81:$A$84</c15:sqref>
                        </c15:formulaRef>
                      </c:ext>
                    </c:extLst>
                    <c:strCache>
                      <c:ptCount val="4"/>
                      <c:pt idx="0">
                        <c:v>Inferencias lógicas</c:v>
                      </c:pt>
                      <c:pt idx="1">
                        <c:v>Reconocimiento de supuestos</c:v>
                      </c:pt>
                      <c:pt idx="2">
                        <c:v>Argumentación</c:v>
                      </c:pt>
                      <c:pt idx="3">
                        <c:v>Deducción y evaluación de conclusiones</c:v>
                      </c:pt>
                    </c:strCache>
                  </c:strRef>
                </c:cat>
                <c:val>
                  <c:numRef>
                    <c:extLst xmlns:c15="http://schemas.microsoft.com/office/drawing/2012/chart">
                      <c:ext xmlns:c15="http://schemas.microsoft.com/office/drawing/2012/chart" uri="{02D57815-91ED-43cb-92C2-25804820EDAC}">
                        <c15:formulaRef>
                          <c15:sqref>Hoja1!$F$81:$F$84</c15:sqref>
                        </c15:formulaRef>
                      </c:ext>
                    </c:extLst>
                    <c:numCache>
                      <c:formatCode>General</c:formatCode>
                      <c:ptCount val="4"/>
                      <c:pt idx="0">
                        <c:v>21</c:v>
                      </c:pt>
                      <c:pt idx="1">
                        <c:v>18</c:v>
                      </c:pt>
                      <c:pt idx="2">
                        <c:v>20</c:v>
                      </c:pt>
                      <c:pt idx="3">
                        <c:v>25</c:v>
                      </c:pt>
                    </c:numCache>
                  </c:numRef>
                </c:val>
                <c:extLst xmlns:c15="http://schemas.microsoft.com/office/drawing/2012/chart">
                  <c:ext xmlns:c16="http://schemas.microsoft.com/office/drawing/2014/chart" uri="{C3380CC4-5D6E-409C-BE32-E72D297353CC}">
                    <c16:uniqueId val="{00000011-BC18-433C-B5B2-D4775E02F7E9}"/>
                  </c:ext>
                </c:extLst>
              </c15:ser>
            </c15:filteredBarSeries>
          </c:ext>
        </c:extLst>
      </c:barChart>
      <c:catAx>
        <c:axId val="-2622251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C"/>
          </a:p>
        </c:txPr>
        <c:crossAx val="-262226240"/>
        <c:crosses val="autoZero"/>
        <c:auto val="1"/>
        <c:lblAlgn val="ctr"/>
        <c:lblOffset val="100"/>
        <c:noMultiLvlLbl val="0"/>
      </c:catAx>
      <c:valAx>
        <c:axId val="-26222624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C"/>
          </a:p>
        </c:txPr>
        <c:crossAx val="-262225152"/>
        <c:crosses val="autoZero"/>
        <c:crossBetween val="between"/>
      </c:valAx>
      <c:spPr>
        <a:noFill/>
        <a:ln>
          <a:noFill/>
        </a:ln>
        <a:effectLst/>
      </c:spPr>
    </c:plotArea>
    <c:legend>
      <c:legendPos val="b"/>
      <c:layout>
        <c:manualLayout>
          <c:xMode val="edge"/>
          <c:yMode val="edge"/>
          <c:x val="0.24096236102824392"/>
          <c:y val="0.89769571906959911"/>
          <c:w val="0.53088210825301052"/>
          <c:h val="9.1464054798028299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JUA15</b:Tag>
    <b:SourceType>Report</b:SourceType>
    <b:Guid>{7C0B9185-7ABE-4DA0-9BD3-EAEB2E72AAF3}</b:Guid>
    <b:Author>
      <b:Author>
        <b:NameList>
          <b:Person>
            <b:Last>Vinueza</b:Last>
            <b:First>Juan</b:First>
          </b:Person>
        </b:NameList>
      </b:Author>
    </b:Author>
    <b:Title>Nuevas metodologías para el diseño de puentes aplicando al portico de acero con columnas inclinadas del puente Gualo</b:Title>
    <b:Year>2015</b:Year>
    <b:Publisher>Universidad Central</b:Publisher>
    <b:City>Quito</b:City>
    <b:RefOrder>3</b:RefOrder>
  </b:Source>
  <b:Source>
    <b:Tag>Luz14</b:Tag>
    <b:SourceType>Report</b:SourceType>
    <b:Guid>{7906DA12-3A9B-4845-A758-3DBCAB1407B6}</b:Guid>
    <b:Author>
      <b:Author>
        <b:NameList>
          <b:Person>
            <b:Last>Luzardo</b:Last>
            <b:First>M.</b:First>
          </b:Person>
          <b:Person>
            <b:Last>Jaimes</b:Last>
            <b:First>L.</b:First>
          </b:Person>
          <b:Person>
            <b:Last>Aguilar</b:Last>
            <b:First>A.</b:First>
          </b:Person>
        </b:NameList>
      </b:Author>
    </b:Author>
    <b:Title>ICT and Academic Formation: A look from the UPB-Bucaramanga’s Teachers.Ponencia: Congreso Internacional de Innovación y Apropiación de las Tecnologías de la Información y las Comunicaciones CIINATIC. Oct</b:Title>
    <b:Year>2014</b:Year>
    <b:RefOrder>4</b:RefOrder>
  </b:Source>
  <b:Source>
    <b:Tag>San12</b:Tag>
    <b:SourceType>Book</b:SourceType>
    <b:Guid>{C3E303D7-1A39-41C1-AFAF-430E7C930F33}</b:Guid>
    <b:Title> Implantación y Validación del Modelo Organizacional y de Gestión para la Formación Flexible en la Universidad de Los Andes. . </b:Title>
    <b:Year>2012</b:Year>
    <b:Author>
      <b:Author>
        <b:NameList>
          <b:Person>
            <b:Last>Sandia</b:Last>
            <b:First>B</b:First>
          </b:Person>
        </b:NameList>
      </b:Author>
    </b:Author>
    <b:City>Saarbrucken, Alemania.</b:City>
    <b:Publisher>Editorial Académica Española</b:Publisher>
    <b:RefOrder>5</b:RefOrder>
  </b:Source>
  <b:Source>
    <b:Tag>PCo04</b:Tag>
    <b:SourceType>JournalArticle</b:SourceType>
    <b:Guid>{D2492297-A882-490D-84D4-DDC5B0C690E5}</b:Guid>
    <b:Author>
      <b:Author>
        <b:NameList>
          <b:Person>
            <b:Last>Colás</b:Last>
            <b:First>f.</b:First>
          </b:Person>
          <b:Person>
            <b:Last>De Pablos</b:Last>
            <b:First>J.</b:First>
          </b:Person>
        </b:NameList>
      </b:Author>
    </b:Author>
    <b:Title>“La  formación  del  profesorado  basada  en  redes de aprendizaje virtual: aplicación de la técnica DAFO”</b:Title>
    <b:Year>2004</b:Year>
    <b:JournalName>Revista Teoría de la Educación: Educación   y   Cultura   en   la   Sociedad   de   la   Información,</b:JournalName>
    <b:RefOrder>6</b:RefOrder>
  </b:Source>
  <b:Source>
    <b:Tag>Ade97</b:Tag>
    <b:SourceType>JournalArticle</b:SourceType>
    <b:Guid>{6E96485A-D303-4E8F-8AA8-AA7EFD1201C1}</b:Guid>
    <b:Title>Tendencias  en  educación  en  la  sociedad  de  las  tecnologías  de  la información”,</b:Title>
    <b:JournalName> Revista  Electrónica  de  TecnologíaEducativa.  EDUTEC</b:JournalName>
    <b:Year>1997</b:Year>
    <b:Author>
      <b:Author>
        <b:NameList>
          <b:Person>
            <b:Last>Adell</b:Last>
            <b:First>J.,</b:First>
          </b:Person>
        </b:NameList>
      </b:Author>
    </b:Author>
    <b:URL> www.uib.es/depart/dceweb/revelec7.htm</b:URL>
    <b:RefOrder>7</b:RefOrder>
  </b:Source>
  <b:Source>
    <b:Tag>Sec17</b:Tag>
    <b:SourceType>Book</b:SourceType>
    <b:Guid>{FBBC9B02-FF6B-4B84-BEB8-A3CCAEF3ED35}</b:Guid>
    <b:Title> Consejo de Evaluación, Acreditación y Aseguramiento de la Calidad de la Educación Superior. </b:Title>
    <b:Year>2017</b:Year>
    <b:Author>
      <b:Author>
        <b:Corporate>Secretaría Nacional de Ciencia y Tecnología</b:Corporate>
      </b:Author>
    </b:Author>
    <b:URL> http://www.ceaaces.gob.ec/sitio/wp-content/uploads/2013/10/rloes1.pd</b:URL>
    <b:RefOrder>8</b:RefOrder>
  </b:Source>
  <b:Source>
    <b:Tag>UNE093</b:Tag>
    <b:SourceType>Book</b:SourceType>
    <b:Guid>{793FAB1C-B5D9-4539-B6C2-8595B6171352}</b:Guid>
    <b:Author>
      <b:Author>
        <b:Corporate>UNESCO </b:Corporate>
      </b:Author>
    </b:Author>
    <b:Title> Guide to Measuring Information and Communication Technologies (ICT) in Education. UIS Technical Paper No. 2. </b:Title>
    <b:Year>2009 </b:Year>
    <b:City>Montreal: UIS.</b:City>
    <b:RefOrder>9</b:RefOrder>
  </b:Source>
  <b:Source>
    <b:Tag>ONU12</b:Tag>
    <b:SourceType>Book</b:SourceType>
    <b:Guid>{4AE9D16C-69E1-4588-B007-9AE6070C30BC}</b:Guid>
    <b:Author>
      <b:Author>
        <b:Corporate>ONU</b:Corporate>
      </b:Author>
    </b:Author>
    <b:Title>Millennium Development Goals.</b:Title>
    <b:Year>2012</b:Year>
    <b:URL> http://www.un.org/millenniumgoals/global.shtml</b:URL>
    <b:RefOrder>10</b:RefOrder>
  </b:Source>
  <b:Source>
    <b:Tag>ONU13</b:Tag>
    <b:SourceType>Book</b:SourceType>
    <b:Guid>{17C66B3E-0729-4011-ADA7-E46AF1C462E2}</b:Guid>
    <b:Author>
      <b:Author>
        <b:NameList>
          <b:Person>
            <b:Last>ONU</b:Last>
          </b:Person>
        </b:NameList>
      </b:Author>
    </b:Author>
    <b:Title>Uso de TIC en educación en américa latina y el caribe Análisis regional de la integración de las TIC en la educación y de la aptitud digital (e-readiness) </b:Title>
    <b:Year>2013</b:Year>
    <b:Publisher>Institute de Estadística de la UNESCO</b:Publisher>
    <b:RefOrder>11</b:RefOrder>
  </b:Source>
  <b:Source>
    <b:Tag>Fer093</b:Tag>
    <b:SourceType>JournalArticle</b:SourceType>
    <b:Guid>{773785A5-A3E2-4E43-BBEB-CB8DD4BDF31D}</b:Guid>
    <b:Title> Ventajas del uso de las TICs en el proceso de enseñanza-aprendizaje desde la óptica de los docentes universitarios españoles. 29), </b:Title>
    <b:Year>2009</b:Year>
    <b:Author>
      <b:Author>
        <b:NameList>
          <b:Person>
            <b:Last>Ferro</b:Last>
            <b:First>C.</b:First>
          </b:Person>
          <b:Person>
            <b:Last>Martínez</b:Last>
            <b:First>A.,</b:First>
          </b:Person>
          <b:Person>
            <b:Last>Otero</b:Last>
            <b:First>M.</b:First>
          </b:Person>
        </b:NameList>
      </b:Author>
    </b:Author>
    <b:JournalName>EDUTEC. Revista Electrónica de Tecnología Educativa (</b:JournalName>
    <b:Pages>1-12.</b:Pages>
    <b:RefOrder>12</b:RefOrder>
  </b:Source>
  <b:Source>
    <b:Tag>Rea10</b:Tag>
    <b:SourceType>JournalArticle</b:SourceType>
    <b:Guid>{79B5E98B-9504-4261-8440-837CD5C673DA}</b:Guid>
    <b:Title> “Venezuelan Government Begins Distribution of 350,000 Laptop Computers to School Children”.</b:Title>
    <b:JournalName> Venezuelanalysis.com.</b:JournalName>
    <b:Year>2010</b:Year>
    <b:Author>
      <b:Author>
        <b:NameList>
          <b:Person>
            <b:Last>Reardon</b:Last>
            <b:First>J.</b:First>
          </b:Person>
        </b:NameList>
      </b:Author>
    </b:Author>
    <b:URL>http://venezuelanalysis.com/news/5792</b:URL>
    <b:RefOrder>13</b:RefOrder>
  </b:Source>
  <b:Source>
    <b:Tag>Imp17</b:Tag>
    <b:SourceType>JournalArticle</b:SourceType>
    <b:Guid>{D1E15A0E-F34F-48AE-BFC7-8558CCC68BF4}</b:Guid>
    <b:Title>Impacto de las TIC en la Educación Superior en el Ecuador</b:Title>
    <b:JournalName>Revista Publicando</b:JournalName>
    <b:Year>2017</b:Year>
    <b:Pages>355-368.</b:Pages>
    <b:Author>
      <b:Author>
        <b:NameList>
          <b:Person>
            <b:Last>Vinueza</b:Last>
            <b:First>J.</b:First>
          </b:Person>
          <b:Person>
            <b:Last>Simbaña</b:Last>
            <b:First>D.</b:First>
          </b:Person>
        </b:NameList>
      </b:Author>
    </b:Author>
    <b:RefOrder>14</b:RefOrder>
  </b:Source>
  <b:Source>
    <b:Tag>The08</b:Tag>
    <b:SourceType>Book</b:SourceType>
    <b:Guid>{843B77C2-BF8C-4956-9341-19E1F44EF067}</b:Guid>
    <b:Author>
      <b:Author>
        <b:Corporate>The World Bank</b:Corporate>
      </b:Author>
    </b:Author>
    <b:Title>Knowledge Assessment Methodology</b:Title>
    <b:Year>2008</b:Year>
    <b:RefOrder>15</b:RefOrder>
  </b:Source>
  <b:Source>
    <b:Tag>Cor19</b:Tag>
    <b:SourceType>InternetSite</b:SourceType>
    <b:Guid>{8531C5E6-5F9D-46D8-87DE-515CEADCC624}</b:Guid>
    <b:Title>Corte Constitucional del Ecuador</b:Title>
    <b:Year>2019</b:Year>
    <b:Author>
      <b:Author>
        <b:Corporate>Corte Constitucional del Ecuador</b:Corporate>
      </b:Author>
    </b:Author>
    <b:InternetSiteTitle>Corte Constitucional del Ecuador</b:InternetSiteTitle>
    <b:URL>https://portal.corteconstitucional.gob.ec/Grafos.aspx</b:URL>
    <b:RefOrder>16</b:RefOrder>
  </b:Source>
  <b:Source>
    <b:Tag>Esp20</b:Tag>
    <b:SourceType>JournalArticle</b:SourceType>
    <b:Guid>{A221DB3B-EA90-471D-8ED8-E239323404B4}</b:Guid>
    <b:Author>
      <b:Author>
        <b:NameList>
          <b:Person>
            <b:Last>Espinoza</b:Last>
            <b:First>Eudaldo</b:First>
          </b:Person>
        </b:NameList>
      </b:Author>
    </b:Author>
    <b:Title>Educación intercultural en el Ecuador: Una revisión sistemática</b:Title>
    <b:JournalName>Revista de Ciencias Sociales</b:JournalName>
    <b:Year>2020</b:Year>
    <b:Pages>1-13</b:Pages>
    <b:Volume>26</b:Volume>
    <b:RefOrder>17</b:RefOrder>
  </b:Source>
  <b:Source>
    <b:Tag>Ley15</b:Tag>
    <b:SourceType>Book</b:SourceType>
    <b:Guid>{2624C776-2E9B-4B1B-AB8A-7DCFF1D0A09A}</b:Guid>
    <b:Author>
      <b:Author>
        <b:Corporate>Ley Orgánica de Educación Intercultural</b:Corporate>
      </b:Author>
    </b:Author>
    <b:Year>2015</b:Year>
    <b:City>Quito</b:City>
    <b:Publisher>Registro Oficial</b:Publisher>
    <b:RefOrder>18</b:RefOrder>
  </b:Source>
  <b:Source>
    <b:Tag>Sal14</b:Tag>
    <b:SourceType>InternetSite</b:SourceType>
    <b:Guid>{17AD10A9-83A3-4A78-894A-2FCC06FD6685}</b:Guid>
    <b:Author>
      <b:Author>
        <b:NameList>
          <b:Person>
            <b:Last>Salazar</b:Last>
            <b:First>J.</b:First>
            <b:Middle>Sanchez, P.</b:Middle>
          </b:Person>
        </b:NameList>
      </b:Author>
    </b:Author>
    <b:Title>Cancer</b:Title>
    <b:InternetSiteTitle>La ciencia a tu alcance</b:InternetSiteTitle>
    <b:Year>2014</b:Year>
    <b:URL>http://eprints.uanl.mx/3465/1/El_Cancer.pdf</b:URL>
    <b:RefOrder>19</b:RefOrder>
  </b:Source>
  <b:Source>
    <b:Tag>Ans20</b:Tag>
    <b:SourceType>InternetSite</b:SourceType>
    <b:Guid>{0BBA286E-F1ED-4986-9CC9-0D595905388D}</b:Guid>
    <b:Author>
      <b:Author>
        <b:NameList>
          <b:Person>
            <b:Last>Anstey EH</b:Last>
            <b:First>Chen</b:First>
            <b:Middle>J, Elam-Evans LD, Perrine CG</b:Middle>
          </b:Person>
        </b:NameList>
      </b:Author>
    </b:Author>
    <b:Title>Datos y Estadísticas sobre el Cáncer entre los Hispanos y Latinos 2018-2020</b:Title>
    <b:InternetSiteTitle>American Cancer Society</b:InternetSiteTitle>
    <b:Year>2020</b:Year>
    <b:URL>https://www.cancer.org/content/dam/cancer-org/research/cancer-facts-and-statistics/cancer-facts-and-figures-for-hispanics-and-latinos/cancer-facts-and-figures-for-hispanics-and-latinos-2018-2020-spanish.pdf</b:URL>
    <b:RefOrder>20</b:RefOrder>
  </b:Source>
  <b:Source>
    <b:Tag>Cas20</b:Tag>
    <b:SourceType>InternetSite</b:SourceType>
    <b:Guid>{71995E0F-19FF-4854-B6D6-EB727E2F1969}</b:Guid>
    <b:Author>
      <b:Author>
        <b:NameList>
          <b:Person>
            <b:Last>Castro</b:Last>
            <b:First>J</b:First>
          </b:Person>
        </b:NameList>
      </b:Author>
    </b:Author>
    <b:Title>Cancer Manual de supervivencia </b:Title>
    <b:InternetSiteTitle>Alienta </b:InternetSiteTitle>
    <b:Year>2020</b:Year>
    <b:URL>https://static0planetadelibroscom.cdnstatics.com/libros_contenido_extra/45/44383_Cancer.pdf</b:URL>
    <b:RefOrder>21</b:RefOrder>
  </b:Source>
  <b:Source>
    <b:Tag>Dom13</b:Tag>
    <b:SourceType>InternetSite</b:SourceType>
    <b:Guid>{0C65B1CA-7C50-490B-A897-6E25D9DAC362}</b:Guid>
    <b:Author>
      <b:Author>
        <b:NameList>
          <b:Person>
            <b:Last>Dominguez</b:Last>
            <b:First>N.,</b:First>
            <b:Middle>Huertas, L., Ornelas, R.</b:Middle>
          </b:Person>
        </b:NameList>
      </b:Author>
    </b:Author>
    <b:Title>EFECTOS DE LA SOLUCIÓN DE PROBLEMAS SOBRE LOS COMPORTAMIENTOS DE AUTOCUIDADO DE CUIDADORES DE PACIENTES ONCOLÓGICOS EN FASE PALIATIVA: UN ESTUDIO PILOTO </b:Title>
    <b:InternetSiteTitle>PSICOONCOLOGÍA</b:InternetSiteTitle>
    <b:Year>2013</b:Year>
    <b:URL>https://cuidadospaliativos.org/uploads/2020/12/Asencio%20Solucion%20de%20Problemas.pdf</b:URL>
    <b:RefOrder>22</b:RefOrder>
  </b:Source>
  <b:Source>
    <b:Tag>Vaz16</b:Tag>
    <b:SourceType>InternetSite</b:SourceType>
    <b:Guid>{1CB53B9C-62B4-4A78-8F26-9C2A6B4DF547}</b:Guid>
    <b:Author>
      <b:Author>
        <b:NameList>
          <b:Person>
            <b:Last>Vazquez</b:Last>
            <b:First>A.,</b:First>
            <b:Middle>Machado, J.</b:Middle>
          </b:Person>
        </b:NameList>
      </b:Author>
    </b:Author>
    <b:Title>cuidador primario de enfermo oncológico </b:Title>
    <b:InternetSiteTitle>Scielo </b:InternetSiteTitle>
    <b:Year>2016</b:Year>
    <b:URL>http://scielo.sld.cu/scielo.php?script=sci_arttext&amp;pid=S0864-21252016000300005</b:URL>
    <b:RefOrder>23</b:RefOrder>
  </b:Source>
  <b:Source>
    <b:Tag>Exp08</b:Tag>
    <b:SourceType>InternetSite</b:SourceType>
    <b:Guid>{FF3E3DE9-E082-46B2-8A69-776F2EECA77C}</b:Guid>
    <b:Author>
      <b:Author>
        <b:NameList>
          <b:Person>
            <b:Last>Expósito</b:Last>
            <b:First>Y.</b:First>
          </b:Person>
        </b:NameList>
      </b:Author>
    </b:Author>
    <b:Title>LA CALIDAD DE VIDA EN LOS CUIDADORES PRIMARIOS DE PACIENTES CON CANCER</b:Title>
    <b:InternetSiteTitle>Scielo </b:InternetSiteTitle>
    <b:Year>2008</b:Year>
    <b:URL>http://scielo.sld.cu/scielo.php?pid=S1729-519X2008000300004&amp;script=sci_arttext&amp;tlng=pt</b:URL>
    <b:RefOrder>24</b:RefOrder>
  </b:Source>
  <b:Source>
    <b:Tag>Ber19</b:Tag>
    <b:SourceType>InternetSite</b:SourceType>
    <b:Guid>{B07CDFAC-CC26-4ABC-BDD7-3B9181A1061C}</b:Guid>
    <b:Author>
      <b:Author>
        <b:NameList>
          <b:Person>
            <b:Last>Bernando</b:Last>
            <b:First>C.</b:First>
          </b:Person>
        </b:NameList>
      </b:Author>
    </b:Author>
    <b:Title>PERSPECTIVA DE LA OMS PARA EL DESARROLLO DE CUIDADOS PALIATIVOS EN EL CONTEXTO DE PROGRAMA DE CONTROL</b:Title>
    <b:InternetSiteTitle>Cancer paliativos </b:InternetSiteTitle>
    <b:Year>2019</b:Year>
    <b:URL>https://paliativossinfronteras.org/wp-content/uploads/LA-OMS-Y-LOS-CP-EN-PAISES-EN-DESARROLLO.pdf</b:URL>
    <b:RefOrder>25</b:RefOrder>
  </b:Source>
  <b:Source>
    <b:Tag>Mat04</b:Tag>
    <b:SourceType>InternetSite</b:SourceType>
    <b:Guid>{DDD41BEF-2B5D-4364-BA16-EEC4A4DE6002}</b:Guid>
    <b:Author>
      <b:Author>
        <b:NameList>
          <b:Person>
            <b:Last>Mate</b:Last>
            <b:First>J.,</b:First>
            <b:Middle>María, F.</b:Middle>
          </b:Person>
        </b:NameList>
      </b:Author>
    </b:Author>
    <b:Title>INSOMNIO, ANSIEDAD Y DEPRESIÓN EN EL PACIENTE ONCOLÓGICO</b:Title>
    <b:InternetSiteTitle>PSICOONCOLOGÍA</b:InternetSiteTitle>
    <b:Year>2004</b:Year>
    <b:URL>file:///D:/Documentos%20de%20Lenovo/Downloads/17109-Texto%20del%20art%C3%ADculo-17185-1-10-20110602.PDF</b:URL>
    <b:RefOrder>26</b:RefOrder>
  </b:Source>
  <b:Source>
    <b:Tag>Boe14</b:Tag>
    <b:SourceType>InternetSite</b:SourceType>
    <b:Guid>{3620B1D3-34E5-4E12-B47D-8BFAA29A0702}</b:Guid>
    <b:Author>
      <b:Author>
        <b:NameList>
          <b:Person>
            <b:Last>Boersma</b:Last>
            <b:First>I.</b:First>
          </b:Person>
        </b:NameList>
      </b:Author>
    </b:Author>
    <b:Title>Cuidados paliativos y neurología: hora de un cambio de paradigma</b:Title>
    <b:InternetSiteTitle>Pubmed</b:InternetSiteTitle>
    <b:Year>2014</b:Year>
    <b:URL>https://pubmed.ncbi.nlm.nih.gov/24991027/</b:URL>
    <b:RefOrder>27</b:RefOrder>
  </b:Source>
  <b:Source>
    <b:Tag>Riz16</b:Tag>
    <b:SourceType>InternetSite</b:SourceType>
    <b:Guid>{7A9DA644-0509-4831-A9FB-A17A1709A6AC}</b:Guid>
    <b:Author>
      <b:Author>
        <b:NameList>
          <b:Person>
            <b:Last>Rizo</b:Last>
            <b:First>A.,</b:First>
            <b:Middle>Molina, M., Melero, M., Pagán, P.</b:Middle>
          </b:Person>
        </b:NameList>
      </b:Author>
    </b:Author>
    <b:Title>Caracterización del cuidador primario de enfermo oncológico en estado avanzado</b:Title>
    <b:InternetSiteTitle>Scielo </b:InternetSiteTitle>
    <b:Year>2016</b:Year>
    <b:URL>http://scielo.sld.cu/scielo.php?script=sci_arttext&amp;pid=S0864-21252016000300005</b:URL>
    <b:RefOrder>28</b:RefOrder>
  </b:Source>
  <b:Source>
    <b:Tag>Iba16</b:Tag>
    <b:SourceType>InternetSite</b:SourceType>
    <b:Guid>{715D543F-6BC9-49A4-B464-7B6E6BC3181F}</b:Guid>
    <b:Author>
      <b:Author>
        <b:NameList>
          <b:Person>
            <b:Last>Ibañez</b:Last>
            <b:First>F.</b:First>
          </b:Person>
        </b:NameList>
      </b:Author>
    </b:Author>
    <b:Title>Sobrecarga del cuidador informal de pacientes inmovilizados en una</b:Title>
    <b:InternetSiteTitle>Enfermeria Global </b:InternetSiteTitle>
    <b:Year>2016</b:Year>
    <b:URL>https://scielo.isciii.es/pdf/eg/v15n43/clinica4.pdf</b:URL>
    <b:RefOrder>29</b:RefOrder>
  </b:Source>
  <b:Source>
    <b:Tag>Bel11</b:Tag>
    <b:SourceType>Report</b:SourceType>
    <b:Guid>{664839F6-26BF-48EE-84F3-3344E7831D22}</b:Guid>
    <b:Author>
      <b:Author>
        <b:NameList>
          <b:Person>
            <b:Last>Le Bellec</b:Last>
            <b:First>F.</b:First>
            <b:Middle>Le</b:Middle>
          </b:Person>
          <b:Person>
            <b:Last>Vaillant</b:Last>
            <b:First>F.</b:First>
          </b:Person>
        </b:NameList>
      </b:Author>
    </b:Author>
    <b:Title>Pitahaya (pitaya) ( Hylocereus  spp.)</b:Title>
    <b:Year>2011</b:Year>
    <b:City>France</b:City>
    <b:Publisher>Centre for Agricultural Research and Development (CIRAD)</b:Publisher>
    <b:RefOrder>30</b:RefOrder>
  </b:Source>
  <b:Source>
    <b:Tag>Ale15</b:Tag>
    <b:SourceType>Report</b:SourceType>
    <b:Guid>{683E1D9D-E554-4FE8-AC66-7DF555CC40FC}</b:Guid>
    <b:Author>
      <b:Author>
        <b:NameList>
          <b:Person>
            <b:Last>Delgado</b:Last>
            <b:First>Alexandra</b:First>
          </b:Person>
        </b:NameList>
      </b:Author>
    </b:Author>
    <b:Title>Insectos plagas de importancia económica en el cultivo de pitaya amarilla </b:Title>
    <b:Year>2015</b:Year>
    <b:Publisher>Tecnología para el manejo de pitaya amarilla, Selenicereus megalanthus (K. Schum. ex Vaupel) Moran</b:Publisher>
    <b:City>Colombia </b:City>
    <b:RefOrder>31</b:RefOrder>
  </b:Source>
  <b:Source>
    <b:Tag>Var20</b:Tag>
    <b:SourceType>BookSection</b:SourceType>
    <b:Guid>{76AB2F02-76C8-4FDD-862C-F9860375070B}</b:Guid>
    <b:Title>Manual Técnico del cultivo de pitahaya</b:Title>
    <b:Year>2020</b:Year>
    <b:Publisher>INIAP. Manual N° 117 x. Joya de los  Sachas, Ecuador,</b:Publisher>
    <b:City>INIAP - QUITO</b:City>
    <b:Author>
      <b:Author>
        <b:NameList>
          <b:Person>
            <b:Last>Vargas</b:Last>
            <b:First>Yadira</b:First>
          </b:Person>
          <b:Person>
            <b:Last> Pico</b:Last>
            <b:First>Jimmy</b:First>
          </b:Person>
          <b:Person>
            <b:Last>Diaz</b:Last>
            <b:First>Alejandra </b:First>
          </b:Person>
          <b:Person>
            <b:Last>Burbano</b:Last>
            <b:First>Armando</b:First>
          </b:Person>
          <b:Person>
            <b:Last>Caicedo </b:Last>
            <b:First>Carlos</b:First>
          </b:Person>
          <b:Person>
            <b:Last>Paredes</b:Last>
            <b:First>Nelly</b:First>
          </b:Person>
          <b:Person>
            <b:Last>Congo </b:Last>
            <b:First>Carlos </b:First>
          </b:Person>
          <b:Person>
            <b:Last>Macas </b:Last>
            <b:First>Julio</b:First>
          </b:Person>
          <b:Person>
            <b:Last>Viera </b:Last>
            <b:First>William</b:First>
          </b:Person>
        </b:NameList>
      </b:Author>
    </b:Author>
    <b:Pages>39</b:Pages>
    <b:RefOrder>32</b:RefOrder>
  </b:Source>
  <b:Source>
    <b:Tag>Tru14</b:Tag>
    <b:SourceType>BookSection</b:SourceType>
    <b:Guid>{C64C92DF-26E1-46FF-B407-D35DD51AEAAE}</b:Guid>
    <b:Author>
      <b:Author>
        <b:NameList>
          <b:Person>
            <b:Last>Trujillo</b:Last>
            <b:First>Regalado</b:First>
          </b:Person>
          <b:Person>
            <b:Last> Benjamín</b:Last>
            <b:First> José</b:First>
          </b:Person>
        </b:NameList>
      </b:Author>
    </b:Author>
    <b:Title>Microorganismos asociados a la pudrición blanda del tallo y manchado del fruto en el cultivo de pitahaya amarilla en Ecuador.</b:Title>
    <b:BookTitle>Tesis de grado previo a la obtención del Titulo de Ingeniero Agrónomo. Carrera de Ingeniería Agronómica. </b:BookTitle>
    <b:Year>2014</b:Year>
    <b:Pages>108 p.</b:Pages>
    <b:City>Tumbaco - Pichincha. </b:City>
    <b:Publisher>Quito: UCE. </b:Publisher>
    <b:RefOrder>33</b:RefOrder>
  </b:Source>
  <b:Source>
    <b:Tag>Cañ14</b:Tag>
    <b:SourceType>JournalArticle</b:SourceType>
    <b:Guid>{9D0605C4-7852-4B9A-BD2B-FF3CC2E18EE8}</b:Guid>
    <b:Author>
      <b:Author>
        <b:NameList>
          <b:Person>
            <b:Last>Cañar</b:Last>
            <b:First>D</b:First>
          </b:Person>
          <b:Person>
            <b:Last>Caetano </b:Last>
            <b:First>C</b:First>
          </b:Person>
          <b:Person>
            <b:Last>Bonilla</b:Last>
            <b:First>M</b:First>
          </b:Person>
        </b:NameList>
      </b:Author>
    </b:Author>
    <b:Title>Caracterización fisicoquímica y proximal del fruto de pitahaya amarilla [Selenicereus sp. (K. shum. Ex vapuel) Moran] cultivada en Colombia.</b:Title>
    <b:Year>2014</b:Year>
    <b:JournalName>Agronomía 22(1)</b:JournalName>
    <b:Pages> 77-87.</b:Pages>
    <b:RefOrder>34</b:RefOrder>
  </b:Source>
  <b:Source>
    <b:Tag>Gar13</b:Tag>
    <b:SourceType>InternetSite</b:SourceType>
    <b:Guid>{42EECDED-DE65-4265-8BA6-CF7C7658A95B}</b:Guid>
    <b:Author>
      <b:Author>
        <b:NameList>
          <b:Person>
            <b:Last>Garces</b:Last>
            <b:First>D</b:First>
          </b:Person>
        </b:NameList>
      </b:Author>
    </b:Author>
    <b:Title>Estudio para la creación de una empresa productora y comercializadora de vino de cereza en la provincia de Chimborazo.</b:Title>
    <b:Year>2013</b:Year>
    <b:Month>febrero </b:Month>
    <b:Day>11 </b:Day>
    <b:URL>https://repositorio.espe.edu.ec/bitstream/21000/7123/1/T-ESPE047365.pdf </b:URL>
    <b:RefOrder>35</b:RefOrder>
  </b:Source>
  <b:Source>
    <b:Tag>GIb15</b:Tag>
    <b:SourceType>InternetSite</b:SourceType>
    <b:Guid>{8E7CF778-35C5-4314-8628-A4F547B7A95E}</b:Guid>
    <b:Author>
      <b:Author>
        <b:NameList>
          <b:Person>
            <b:Last>Ibarra</b:Last>
            <b:First>G</b:First>
          </b:Person>
        </b:NameList>
      </b:Author>
    </b:Author>
    <b:Title>Determinación de la osmotolerancia de nueve cepas de levaduras aisladas de frutos de mora para la aplicación industrial en procesos de fermentación alcohólica</b:Title>
    <b:InternetSiteTitle>(Universidad Tecnica de Ambato)</b:InternetSiteTitle>
    <b:Year>2015</b:Year>
    <b:URL>http://repositorio.uta.edu.ec/jspui/bitstream/123456789/12944/1/BQ. 72.pdf</b:URL>
    <b:RefOrder>36</b:RefOrder>
  </b:Source>
  <b:Source>
    <b:Tag>Her17</b:Tag>
    <b:SourceType>Book</b:SourceType>
    <b:Guid>{B42A4F6E-9915-4170-8DEE-A889DE58D6B1}</b:Guid>
    <b:Title>El Estado como Legislador Dañoso y su Responsabilidad Reparadora</b:Title>
    <b:Year>2017</b:Year>
    <b:Publisher>Murillo Editores</b:Publisher>
    <b:City>Quito</b:City>
    <b:Author>
      <b:Author>
        <b:NameList>
          <b:Person>
            <b:Last>Herández Terán</b:Last>
            <b:First>Miguel</b:First>
          </b:Person>
        </b:NameList>
      </b:Author>
    </b:Author>
    <b:RefOrder>37</b:RefOrder>
  </b:Source>
  <b:Source>
    <b:Tag>Con08</b:Tag>
    <b:SourceType>Report</b:SourceType>
    <b:Guid>{12493D89-A916-4BBA-836E-087A694D7985}</b:Guid>
    <b:Title>Constitución de la República del Ecuador</b:Title>
    <b:Year>2008</b:Year>
    <b:RefOrder>38</b:RefOrder>
  </b:Source>
  <b:Source>
    <b:Tag>Mog09</b:Tag>
    <b:SourceType>JournalArticle</b:SourceType>
    <b:Guid>{95113360-A8B0-4022-A76D-0B2900092D0B}</b:Guid>
    <b:Title>La Responsabilidad Estatal en la Constitución del Ecuador  de  2008</b:Title>
    <b:Year>2009</b:Year>
    <b:Author>
      <b:Author>
        <b:NameList>
          <b:Person>
            <b:Last>Mogrovejo Jaramillo</b:Last>
            <b:First>Diego</b:First>
          </b:Person>
        </b:NameList>
      </b:Author>
    </b:Author>
    <b:JournalName>Foro</b:JournalName>
    <b:RefOrder>39</b:RefOrder>
  </b:Source>
  <b:Source>
    <b:Tag>Sto19</b:Tag>
    <b:SourceType>Book</b:SourceType>
    <b:Guid>{9B3F045E-4AEE-4E45-B095-4D2FDBFF877E}</b:Guid>
    <b:Author>
      <b:Author>
        <b:NameList>
          <b:Person>
            <b:Last>Storini</b:Last>
            <b:First>Claudia</b:First>
          </b:Person>
        </b:NameList>
      </b:Author>
    </b:Author>
    <b:Title>Refundación del Constitucionalismo Social</b:Title>
    <b:Year>2019</b:Year>
    <b:City>Quito</b:City>
    <b:Publisher>Corporacíon Editora Nacional</b:Publisher>
    <b:RefOrder>40</b:RefOrder>
  </b:Source>
  <b:Source>
    <b:Tag>Sen12</b:Tag>
    <b:SourceType>Case</b:SourceType>
    <b:Guid>{FEB1B001-9771-4396-A1EF-F02CC5630238}</b:Guid>
    <b:Title>Sentencia No. 067-12-SEP-CC</b:Title>
    <b:Year>2012</b:Year>
    <b:CaseNumber>1116-10-EP</b:CaseNumber>
    <b:Court>Corte Constitucional de Ecuador</b:Court>
    <b:Month>marzo</b:Month>
    <b:Day>27</b:Day>
    <b:RefOrder>41</b:RefOrder>
  </b:Source>
  <b:Source>
    <b:Tag>Sen14</b:Tag>
    <b:SourceType>Case</b:SourceType>
    <b:Guid>{563BE0EF-684E-4A3A-BAE0-A7FFF0678627}</b:Guid>
    <b:Title>Sentencia No. 0189-14-SEP-CC</b:Title>
    <b:CaseNumber>0325-13-EP</b:CaseNumber>
    <b:Court>Corte Constitucional de Ecuador</b:Court>
    <b:Year>2014</b:Year>
    <b:Month>octubre</b:Month>
    <b:Day>22</b:Day>
    <b:RefOrder>42</b:RefOrder>
  </b:Source>
  <b:Source>
    <b:Tag>Tor16</b:Tag>
    <b:SourceType>JournalArticle</b:SourceType>
    <b:Guid>{A45841B2-2A03-45DA-AFD0-2FBEFB042336}</b:Guid>
    <b:Title>Interés Superior del Niño</b:Title>
    <b:Year>2016</b:Year>
    <b:Author>
      <b:Author>
        <b:NameList>
          <b:Person>
            <b:Last>Torrecuadrada García Lozano</b:Last>
            <b:First>Soledad</b:First>
          </b:Person>
        </b:NameList>
      </b:Author>
    </b:Author>
    <b:JournalName>SCIELO</b:JournalName>
    <b:URL>http://www.scielo.org.mx/scielo.php?script=sci_arttext&amp;pid=S1870-46542016000100131</b:URL>
    <b:RefOrder>43</b:RefOrder>
  </b:Source>
  <b:Source>
    <b:Tag>Con081</b:Tag>
    <b:SourceType>BookSection</b:SourceType>
    <b:Guid>{E5C94D0E-7062-45C1-8FB8-D3CB6F2DCB05}</b:Guid>
    <b:Year>2008</b:Year>
    <b:Author>
      <b:Author>
        <b:Corporate> Constitución de la República del Ecuador</b:Corporate>
      </b:Author>
    </b:Author>
    <b:RefOrder>44</b:RefOrder>
  </b:Source>
  <b:Source>
    <b:Tag>Cód03</b:Tag>
    <b:SourceType>BookSection</b:SourceType>
    <b:Guid>{34EC72AA-1755-43D3-A846-DD9362EC0C3B}</b:Guid>
    <b:Author>
      <b:Author>
        <b:Corporate>Código Orgánico de la Niñez y Adolescencia</b:Corporate>
      </b:Author>
    </b:Author>
    <b:Year>2003</b:Year>
    <b:RefOrder>45</b:RefOrder>
  </b:Source>
  <b:Source>
    <b:Tag>Soc24</b:Tag>
    <b:SourceType>Report</b:SourceType>
    <b:Guid>{BEA219B8-588A-467A-8E92-EBC5C8ED6137}</b:Guid>
    <b:Title>Declaración de los Derechos del Niño de Ginebra</b:Title>
    <b:Year>1924</b:Year>
    <b:Author>
      <b:Author>
        <b:Corporate>Sociedad de Naciones</b:Corporate>
      </b:Author>
    </b:Author>
    <b:City>Ginebra</b:City>
    <b:RefOrder>46</b:RefOrder>
  </b:Source>
  <b:Source>
    <b:Tag>Con89</b:Tag>
    <b:SourceType>Book</b:SourceType>
    <b:Guid>{BE465446-3AA6-45E9-908F-9BEEC2448BD7}</b:Guid>
    <b:Author>
      <b:Author>
        <b:Corporate>Convención de los Derechos del Niño, CDN</b:Corporate>
      </b:Author>
    </b:Author>
    <b:Year>1989</b:Year>
    <b:City>New York</b:City>
    <b:RefOrder>47</b:RefOrder>
  </b:Source>
  <b:Source>
    <b:Tag>Cam14</b:Tag>
    <b:SourceType>Book</b:SourceType>
    <b:Guid>{EB812824-3260-4BC7-8337-238D3CA67C6B}</b:Guid>
    <b:Title>Interés Superior del Niño: Técnicas de Reducción de la Discrecionabilidad Abusiva</b:Title>
    <b:Year>2014</b:Year>
    <b:City>Quito</b:City>
    <b:Publisher>Iuris Dicto</b:Publisher>
    <b:Author>
      <b:Author>
        <b:NameList>
          <b:Person>
            <b:Last>Simon Campaña</b:Last>
            <b:First>Farith</b:First>
          </b:Person>
        </b:NameList>
      </b:Author>
    </b:Author>
    <b:RefOrder>48</b:RefOrder>
  </b:Source>
  <b:Source>
    <b:Tag>12At</b:Tag>
    <b:SourceType>Case</b:SourceType>
    <b:Guid>{92B7FAAA-3F14-49D6-AB40-7A93620960C9}</b:Guid>
    <b:Year>2012</b:Year>
    <b:Month>02</b:Month>
    <b:Day>24</b:Day>
    <b:CaseNumber>Atala Riffo  y niñas vs. Chile</b:CaseNumber>
    <b:Court>Corte Interamericana de Derechos Humanos CIDH</b:Court>
    <b:Author>
      <b:Author>
        <b:Corporate>Corte Interamericana de Derechos Humanos CIDH</b:Corporate>
      </b:Author>
    </b:Author>
    <b:RefOrder>49</b:RefOrder>
  </b:Source>
  <b:Source>
    <b:Tag>Com13</b:Tag>
    <b:SourceType>ElectronicSource</b:SourceType>
    <b:Guid>{2472F686-B724-449E-AC40-7F8D322AB37B}</b:Guid>
    <b:Author>
      <b:Author>
        <b:Corporate>Comité de Derechos del Niño</b:Corporate>
      </b:Author>
    </b:Author>
    <b:Title>Observación General No. 14 Sobre el derecho del niño a que su interés superior sea una consideración primordial (Art. 3 párrafo 1)</b:Title>
    <b:Year>2013</b:Year>
    <b:CountryRegion>Naciones Unidas</b:CountryRegion>
    <b:Month>mayo</b:Month>
    <b:Day>13</b:Day>
    <b:RefOrder>50</b:RefOrder>
  </b:Source>
  <b:Source>
    <b:Tag>UNI18</b:Tag>
    <b:SourceType>ArticleInAPeriodical</b:SourceType>
    <b:Guid>{0D7F8232-D133-4648-A6CD-A204AF89FF53}</b:Guid>
    <b:Title>Guía del Interés Superior</b:Title>
    <b:Year>2018</b:Year>
    <b:Author>
      <b:Author>
        <b:Corporate>UNICEF</b:Corporate>
      </b:Author>
    </b:Author>
    <b:URL>https://www.unicef.org/ecuador/media/2406/file/Inter%C3%A9s%20Superior%20del%20Ni%C3%B1o.pdf</b:URL>
    <b:RefOrder>51</b:RefOrder>
  </b:Source>
  <b:Source>
    <b:Tag>12Co</b:Tag>
    <b:SourceType>Case</b:SourceType>
    <b:Guid>{3C342D05-C748-4339-931C-765468B47925}</b:Guid>
    <b:Year>2012</b:Year>
    <b:Month>marzo</b:Month>
    <b:Day>27</b:Day>
    <b:Court>Corte Constitucional del Ecuador</b:Court>
    <b:Title>Sentencia No. 067-12-SEP-CC</b:Title>
    <b:CaseNumber>1116-10-EP</b:CaseNumber>
    <b:RefOrder>52</b:RefOrder>
  </b:Source>
  <b:Source>
    <b:Tag>Sen21</b:Tag>
    <b:SourceType>Case</b:SourceType>
    <b:Guid>{489CD8AC-863A-4B65-BDEC-C45C8A397FF9}</b:Guid>
    <b:Title>Sentencia No. 983-18-JP/21</b:Title>
    <b:CaseNumber>983-18-JP</b:CaseNumber>
    <b:Court>Corte Constitucional del Ecuador</b:Court>
    <b:Year>2021</b:Year>
    <b:Month>agosto</b:Month>
    <b:Day>25</b:Day>
    <b:RefOrder>53</b:RefOrder>
  </b:Source>
  <b:Source>
    <b:Tag>1700</b:Tag>
    <b:SourceType>Case</b:SourceType>
    <b:Guid>{30E19413-16AA-4FD4-9EA1-62435BED0366}</b:Guid>
    <b:CaseNumber>0026-10-IN. 0031-10-IN. 0052-16-IN. Acumulados</b:CaseNumber>
    <b:Court>Corte Constitucional del Ecuador</b:Court>
    <b:Year>2017</b:Year>
    <b:Month>Mayo</b:Month>
    <b:Day>10</b:Day>
    <b:RefOrder>54</b:RefOrder>
  </b:Source>
  <b:Source>
    <b:Tag>Von87</b:Tag>
    <b:SourceType>Book</b:SourceType>
    <b:Guid>{3D8FB49C-5E69-4CD1-BF55-6968520C6FDF}</b:Guid>
    <b:Author>
      <b:Author>
        <b:NameList>
          <b:Person>
            <b:Last>Vonadovic</b:Last>
            <b:First>Antonio</b:First>
          </b:Person>
        </b:NameList>
      </b:Author>
    </b:Author>
    <b:Title> Derecho de Alimentos</b:Title>
    <b:Year>1987</b:Year>
    <b:City>Santiago de Chile</b:City>
    <b:Publisher>Ediar-Conosur Ltda.</b:Publisher>
    <b:RefOrder>55</b:RefOrder>
  </b:Source>
  <b:Source>
    <b:Tag>Asa20</b:Tag>
    <b:SourceType>Report</b:SourceType>
    <b:Guid>{B559450D-0CB9-4557-BAF3-2EDEC4A451BA}</b:Guid>
    <b:Title>Proyecto de Ley del Código Orgánico de Protección Integral de Niños, Niñas y Adolescentes</b:Title>
    <b:Year>2020</b:Year>
    <b:City>Quito</b:City>
    <b:Author>
      <b:Author>
        <b:Corporate>Asamblea Nacional Constituyente del Ecuador</b:Corporate>
      </b:Author>
    </b:Author>
    <b:RefOrder>56</b:RefOrder>
  </b:Source>
  <b:Source>
    <b:Tag>Uni21</b:Tag>
    <b:SourceType>Report</b:SourceType>
    <b:Guid>{A398BEDE-7D52-4A80-A170-0D302BD0D64B}</b:Guid>
    <b:Title>Impacto del  Covid-19 en Ecuador</b:Title>
    <b:Year>2021</b:Year>
    <b:Publisher>Cesla</b:Publisher>
    <b:City>Loja</b:City>
    <b:Author>
      <b:Author>
        <b:Corporate>Universidad Técnica Particular de Loja</b:Corporate>
      </b:Author>
    </b:Author>
    <b:URL>file:///C:/Users/Asus/Desktop/Metodolog%C3%ADa%20de%20Investigaci%C3%B3n%20Anita%20Zamora/Recopilaci%C3%B3n%20de%20Informaci%C3%B3n%20Art%C3%ADculo/Informe_economia_Ecuador_mayo_2020.pdf</b:URL>
    <b:RefOrder>57</b:RefOrder>
  </b:Source>
  <b:Source>
    <b:Tag>Sim083</b:Tag>
    <b:SourceType>Book</b:SourceType>
    <b:Guid>{5423355A-BF2A-4F61-A600-12FE69F8296C}</b:Guid>
    <b:Title>Derechos de la Niñez y Adolescencia: De la Convención sobre los Derechos del Niño a las Legislaciones Integrales</b:Title>
    <b:Year>2008</b:Year>
    <b:City>Quito</b:City>
    <b:Author>
      <b:Author>
        <b:NameList>
          <b:Person>
            <b:Last>Simon</b:Last>
            <b:First>Farith</b:First>
          </b:Person>
        </b:NameList>
      </b:Author>
    </b:Author>
    <b:Volume>I</b:Volume>
    <b:RefOrder>58</b:RefOrder>
  </b:Source>
  <b:Source>
    <b:Tag>Zut201</b:Tag>
    <b:SourceType>DocumentFromInternetSite</b:SourceType>
    <b:Guid>{1DCC95C2-4090-4370-83D1-C04099AF1F5B}</b:Guid>
    <b:Title>Pólemos</b:Title>
    <b:Year>2020</b:Year>
    <b:Month>octubre</b:Month>
    <b:Day>30</b:Day>
    <b:Author>
      <b:Author>
        <b:NameList>
          <b:Person>
            <b:Last>Zuta Vidal</b:Last>
            <b:First>Erika</b:First>
          </b:Person>
          <b:Person>
            <b:Last>Cruz Espinoza</b:Last>
            <b:First>Peter</b:First>
          </b:Person>
        </b:NameList>
      </b:Author>
    </b:Author>
    <b:InternetSiteTitle>Portal Jurídico Interdisciplinario</b:InternetSiteTitle>
    <b:URL>https://polemos.pe/los-procesos-de-alimentos-de-ninos-ninas-y-adolescentes-en-tiempos-de-covid-19/</b:URL>
    <b:RefOrder>59</b:RefOrder>
  </b:Source>
  <b:Source>
    <b:Tag>Val12</b:Tag>
    <b:SourceType>JournalArticle</b:SourceType>
    <b:Guid>{41DBFB6E-BC0D-44FD-B4B0-0BDFF4000B62}</b:Guid>
    <b:Title>Efectividad del Apremio Personal</b:Title>
    <b:Year>2012</b:Year>
    <b:Author>
      <b:Author>
        <b:NameList>
          <b:Person>
            <b:Last>Valladares Paz</b:Last>
            <b:First>Rosa</b:First>
          </b:Person>
        </b:NameList>
      </b:Author>
    </b:Author>
    <b:JournalName>Illumanta</b:JournalName>
    <b:Pages>103</b:Pages>
    <b:RefOrder>60</b:RefOrder>
  </b:Source>
  <b:Source>
    <b:Tag>Sen121</b:Tag>
    <b:SourceType>Case</b:SourceType>
    <b:Guid>{9B20D0E4-9758-4FC8-BA7C-2046057A023D}</b:Guid>
    <b:Title>Sentencia No. 067-12-SEP-CC</b:Title>
    <b:Year>2012</b:Year>
    <b:CaseNumber>1116-10-EP</b:CaseNumber>
    <b:Court>Corte Constitucional Para el Período de Transición</b:Court>
    <b:Month>Marzo</b:Month>
    <b:Day>27</b:Day>
    <b:RefOrder>61</b:RefOrder>
  </b:Source>
  <b:Source>
    <b:Tag>Hol11</b:Tag>
    <b:SourceType>Book</b:SourceType>
    <b:Guid>{F65846B3-CC41-4A77-BFCC-6073B30EEE62}</b:Guid>
    <b:Title>El Costo de los Derechos</b:Title>
    <b:Year>2011</b:Year>
    <b:Author>
      <b:Author>
        <b:NameList>
          <b:Person>
            <b:Last>Stephen</b:Last>
            <b:First>Holmes</b:First>
          </b:Person>
          <b:Person>
            <b:Last>Cass</b:Last>
            <b:First>R</b:First>
          </b:Person>
        </b:NameList>
      </b:Author>
    </b:Author>
    <b:City>Buenos Aires</b:City>
    <b:Publisher>Siglo Veintiuno</b:Publisher>
    <b:RefOrder>62</b:RefOrder>
  </b:Source>
  <b:Source>
    <b:Tag>Sen18</b:Tag>
    <b:SourceType>Case</b:SourceType>
    <b:Guid>{905DFD3E-5354-44C4-97F2-4119B81CE747}</b:Guid>
    <b:Title>Sentencia No. 003-18-P.JO-CC </b:Title>
    <b:Year>2018</b:Year>
    <b:CaseNumber>0775-11-.JP</b:CaseNumber>
    <b:Court>Corte Constitucional del Ecuador</b:Court>
    <b:Month>junio</b:Month>
    <b:Day>27</b:Day>
    <b:RefOrder>63</b:RefOrder>
  </b:Source>
  <b:Source>
    <b:Tag>Sen211</b:Tag>
    <b:SourceType>Case</b:SourceType>
    <b:Guid>{3011DAC2-0185-4568-BD99-F593E2E16C84}</b:Guid>
    <b:Title>Sentencia No. 983-18-JP/21</b:Title>
    <b:CaseNumber>983-18-JP</b:CaseNumber>
    <b:Court>Corte Constitucional del Ecuador</b:Court>
    <b:Year>2021</b:Year>
    <b:Month>agosto</b:Month>
    <b:Day>25</b:Day>
    <b:RefOrder>64</b:RefOrder>
  </b:Source>
  <b:Source>
    <b:Tag>Asa201</b:Tag>
    <b:SourceType>Report</b:SourceType>
    <b:Guid>{725F5191-B541-492E-A77D-C014FF212DA8}</b:Guid>
    <b:Title>Proyecto de Código Orgánico de Protección Integral de Niños, Niñas y Adolescentes</b:Title>
    <b:Year>2020</b:Year>
    <b:City>Quito</b:City>
    <b:Author>
      <b:Author>
        <b:Corporate>Asamblea Nacional Constituyente</b:Corporate>
      </b:Author>
    </b:Author>
    <b:RefOrder>65</b:RefOrder>
  </b:Source>
  <b:Source>
    <b:Tag>Alv02</b:Tag>
    <b:SourceType>Book</b:SourceType>
    <b:Guid>{E9227E5B-289D-484E-B3A7-6969A8030A52}</b:Guid>
    <b:Title>Metodología de la Investigación Jurídica</b:Title>
    <b:Year>2002</b:Year>
    <b:Author>
      <b:Author>
        <b:NameList>
          <b:Person>
            <b:Last>Alvarez Undurraga</b:Last>
            <b:First>Gabriel</b:First>
          </b:Person>
        </b:NameList>
      </b:Author>
    </b:Author>
    <b:City>Santiago de Chile</b:City>
    <b:RefOrder>66</b:RefOrder>
  </b:Source>
  <b:Source>
    <b:Tag>Elg</b:Tag>
    <b:SourceType>Book</b:SourceType>
    <b:Guid>{D99825D9-EE72-4817-91E2-BA759A6D0264}</b:Guid>
    <b:Author>
      <b:Author>
        <b:NameList>
          <b:Person>
            <b:Last>Elgueta Rosas</b:Last>
            <b:First>María</b:First>
            <b:Middle>Francisca</b:Middle>
          </b:Person>
          <b:Person>
            <b:Last>Palma González</b:Last>
            <b:First>Eric</b:First>
            <b:Middle>Eduardo</b:Middle>
          </b:Person>
        </b:NameList>
      </b:Author>
    </b:Author>
    <b:Title>La investigación en las Ciencias Sociales y Jurídicas</b:Title>
    <b:Publisher>Universidad de Chile</b:Publisher>
    <b:RefOrder>67</b:RefOrder>
  </b:Source>
  <b:Source>
    <b:Tag>MarcadorDePosición1</b:Tag>
    <b:SourceType>JournalArticle</b:SourceType>
    <b:Guid>{B45D654F-20DB-49FD-9D3A-04BB595A295D}</b:Guid>
    <b:Author>
      <b:Author>
        <b:NameList>
          <b:Person>
            <b:Last>Quito</b:Last>
            <b:First>Mauricio</b:First>
          </b:Person>
          <b:Person>
            <b:Last>Castro</b:Last>
            <b:First>Janeth</b:First>
          </b:Person>
          <b:Person>
            <b:Last>Reátegui</b:Last>
            <b:First>Gladys</b:First>
          </b:Person>
          <b:Person>
            <b:Last>Sánchez</b:Last>
            <b:First>Mario</b:First>
          </b:Person>
        </b:NameList>
      </b:Author>
    </b:Author>
    <b:Title>Procedencia de la rendición de cuentas por parte del administrador de pensión </b:Title>
    <b:JournalName>Revista Científica Mundo de la Investigación y el Conocimiento. Vol. 3 núm.1</b:JournalName>
    <b:Year>2019</b:Year>
    <b:Pages>1284-1305</b:Pages>
    <b:RefOrder>68</b:RefOrder>
  </b:Source>
  <b:Source>
    <b:Tag>Her18</b:Tag>
    <b:SourceType>JournalArticle</b:SourceType>
    <b:Guid>{A669BE0B-AC1C-46AF-B70E-25571D13AD16}</b:Guid>
    <b:Title>Investigación cualitativa y análisis de contenido temático. Orientación intelectual de revista Universum</b:Title>
    <b:Year>2018</b:Year>
    <b:Author>
      <b:Author>
        <b:NameList>
          <b:Person>
            <b:Last>Herrera</b:Last>
            <b:First>Claudio</b:First>
          </b:Person>
        </b:NameList>
      </b:Author>
    </b:Author>
    <b:JournalName>Revista General de Información y Documentación</b:JournalName>
    <b:Pages>119-142</b:Pages>
    <b:RefOrder>69</b:RefOrder>
  </b:Source>
  <b:Source>
    <b:Tag>Mez20</b:Tag>
    <b:SourceType>JournalArticle</b:SourceType>
    <b:Guid>{76D0AE16-FFF5-4226-A018-6871824B278F}</b:Guid>
    <b:Author>
      <b:Author>
        <b:NameList>
          <b:Person>
            <b:Last>Meza-Salcedo</b:Last>
            <b:First>Guillermo</b:First>
          </b:Person>
          <b:Person>
            <b:Last>Rubio-Rodríguez</b:Last>
            <b:First>Gustavo</b:First>
          </b:Person>
          <b:Person>
            <b:Last>Mesa</b:Last>
            <b:First>Leidy</b:First>
          </b:Person>
          <b:Person>
            <b:Last>Blandón</b:Last>
            <b:First>Alexander</b:First>
          </b:Person>
        </b:NameList>
      </b:Author>
    </b:Author>
    <b:Title>Carácter formativo y pedagógico de la revisión de literatura en la investigación</b:Title>
    <b:JournalName>Información Tecnológica</b:JournalName>
    <b:Year>2020</b:Year>
    <b:Pages>153-162</b:Pages>
    <b:RefOrder>70</b:RefOrder>
  </b:Source>
  <b:Source>
    <b:Tag>Sot19</b:Tag>
    <b:SourceType>JournalArticle</b:SourceType>
    <b:Guid>{9A7D56CB-A3FA-4881-9ACA-ABC35D4FF1E3}</b:Guid>
    <b:Author>
      <b:Author>
        <b:NameList>
          <b:Person>
            <b:Last>Soto</b:Last>
            <b:First>Javier</b:First>
          </b:Person>
        </b:NameList>
      </b:Author>
    </b:Author>
    <b:Title>El Método Abductivo De Investigación Científica. Sus Orígenes En El Romanticismo Oscuro Estadounidense Y Algunas Reflexiones Y Ejemplos En Torno A Contextos Multiculturales Y La Enseñanza De La Música En La Desglobalización</b:Title>
    <b:JournalName>Neuma (Talca); Vol 12, No 1</b:JournalName>
    <b:Year>2019</b:Year>
    <b:Pages>60-75</b:Pages>
    <b:RefOrder>71</b:RefOrder>
  </b:Source>
  <b:Source>
    <b:Tag>Con202</b:Tag>
    <b:SourceType>InternetSite</b:SourceType>
    <b:Guid>{B1090260-9CA6-4825-B587-ED8604DC55DD}</b:Guid>
    <b:Title>Gestión Centro Nacional de Mediación de la Función Judicial</b:Title>
    <b:Year>2020</b:Year>
    <b:Author>
      <b:Author>
        <b:Corporate>Consejo de la Judicatura</b:Corporate>
      </b:Author>
    </b:Author>
    <b:URL>https://www.funcionjudicial.gob.ec/mediacion/index.php/2015-04-13-21-21-55/datos-estadisticos#ingreso-de-causas-por-tipo-2020</b:URL>
    <b:RefOrder>72</b:RefOrder>
  </b:Source>
  <b:Source>
    <b:Tag>LaH19</b:Tag>
    <b:SourceType>InternetSite</b:SourceType>
    <b:Guid>{F8EC1032-C0D5-4C09-8B67-026D832AA1FF}</b:Guid>
    <b:Title>La necesidad de legislar la Tenencia Compartida en el Ecuador</b:Title>
    <b:Year>2019</b:Year>
    <b:Author>
      <b:Author>
        <b:Corporate>La Hora</b:Corporate>
      </b:Author>
    </b:Author>
    <b:URL>https://lahora.com.ec/noticia/1102295311/la-necesidad-de-legislar-la-tenencia-compartida-en-el-ecuador</b:URL>
    <b:RefOrder>73</b:RefOrder>
  </b:Source>
  <b:Source>
    <b:Tag>Váz20</b:Tag>
    <b:SourceType>JournalArticle</b:SourceType>
    <b:Guid>{5CE3401F-66CE-41BD-8F68-F191810B4B4B}</b:Guid>
    <b:Title>La tenencia compartida, alcances y su aplicación en el Ecuador</b:Title>
    <b:Year>2020</b:Year>
    <b:Author>
      <b:Author>
        <b:NameList>
          <b:Person>
            <b:Last>Vázquez</b:Last>
            <b:First>Cristian</b:First>
          </b:Person>
          <b:Person>
            <b:Last>Narváez</b:Last>
            <b:First>Cecilia</b:First>
          </b:Person>
          <b:Person>
            <b:Last>Trelles</b:Last>
            <b:First>Diego</b:First>
          </b:Person>
          <b:Person>
            <b:Last>Erazo</b:Last>
            <b:First>Juan</b:First>
          </b:Person>
        </b:NameList>
      </b:Author>
    </b:Author>
    <b:JournalName>Iustitia Socialis. Revista Arbitrada de Ciencias Jurídicas, Año V, Vol. V, N°1.</b:JournalName>
    <b:Pages>474-491</b:Pages>
    <b:RefOrder>74</b:RefOrder>
  </b:Source>
  <b:Source>
    <b:Tag>Ber201</b:Tag>
    <b:SourceType>JournalArticle</b:SourceType>
    <b:Guid>{6FF5DDF3-756C-4401-B766-E08B21BAECC9}</b:Guid>
    <b:Title>Vulneración en el principio de igualdad en la tenencia de hijos menores de edad</b:Title>
    <b:Year>2020</b:Year>
    <b:Author>
      <b:Author>
        <b:NameList>
          <b:Person>
            <b:Last>Bermeo-Cabrera</b:Last>
            <b:First>Francisco</b:First>
          </b:Person>
          <b:Person>
            <b:Last>Pauta-Cedillo</b:Last>
            <b:First>William</b:First>
          </b:Person>
        </b:NameList>
      </b:Author>
    </b:Author>
    <b:JournalName>Polo del Conocimiento, Vol. 5, No 08</b:JournalName>
    <b:Pages>1114-1133</b:Pages>
    <b:RefOrder>75</b:RefOrder>
  </b:Source>
  <b:Source>
    <b:Tag>Arg204</b:Tag>
    <b:SourceType>JournalArticle</b:SourceType>
    <b:Guid>{2F6F0707-438A-47F6-BFDB-0FFE0A7F2DDB}</b:Guid>
    <b:Author>
      <b:Author>
        <b:NameList>
          <b:Person>
            <b:Last>Argoti</b:Last>
            <b:First>Edwin</b:First>
          </b:Person>
        </b:NameList>
      </b:Author>
    </b:Author>
    <b:Title>La prisión por el no pago de pensiones alimenticias</b:Title>
    <b:JournalName>Revista de la Facultad de Jurisprudencia de la Universidad Central del Ecuador</b:JournalName>
    <b:Year>2020</b:Year>
    <b:Pages>98-120</b:Pages>
    <b:RefOrder>76</b:RefOrder>
  </b:Source>
  <b:Source>
    <b:Tag>Con141</b:Tag>
    <b:SourceType>Report</b:SourceType>
    <b:Guid>{6433288C-086A-4A3B-99BA-859A35FB0439}</b:Guid>
    <b:Title>Código de la Niñez y Adolescencia</b:Title>
    <b:Year>2014</b:Year>
    <b:Author>
      <b:Author>
        <b:Corporate>Congreso Nacional</b:Corporate>
      </b:Author>
    </b:Author>
    <b:Publisher>Registro Oficial 737 de 03-ene.-2003</b:Publisher>
    <b:City>Quito</b:City>
    <b:RefOrder>77</b:RefOrder>
  </b:Source>
  <b:Source>
    <b:Tag>Con151</b:Tag>
    <b:SourceType>Report</b:SourceType>
    <b:Guid>{51E9E3D4-C33D-46C4-BFDA-0C6D296CE3AB}</b:Guid>
    <b:Author>
      <b:Author>
        <b:Corporate>Consejo de la Judicatura</b:Corporate>
      </b:Author>
    </b:Author>
    <b:Title>Reglamento del Sistema Integral de Pensiones Alimenticias de la Función Judicial</b:Title>
    <b:Year>2015</b:Year>
    <b:Publisher>Resolución 198-2015</b:Publisher>
    <b:City>Quito</b:City>
    <b:RefOrder>78</b:RefOrder>
  </b:Source>
  <b:Source>
    <b:Tag>Asa083</b:Tag>
    <b:SourceType>Report</b:SourceType>
    <b:Guid>{E398F27A-5DEC-459E-9B6B-4F1481842FD1}</b:Guid>
    <b:Title>Constitución De La Republica Del Ecuador 2008</b:Title>
    <b:Year>2008</b:Year>
    <b:Author>
      <b:Author>
        <b:Corporate>Asamblea Nacional Constituyente</b:Corporate>
      </b:Author>
    </b:Author>
    <b:Publisher>República del Ecuador</b:Publisher>
    <b:City>Quito</b:City>
    <b:RefOrder>79</b:RefOrder>
  </b:Source>
  <b:Source>
    <b:Tag>ElC17</b:Tag>
    <b:SourceType>InternetSite</b:SourceType>
    <b:Guid>{782DB5E4-B447-4DA9-A7C2-122D6F68E120}</b:Guid>
    <b:Title>La tenencia compartida tendrá reglas, según reforma al Código de la Niñez</b:Title>
    <b:Year>2017</b:Year>
    <b:Author>
      <b:Author>
        <b:Corporate>El Comercio</b:Corporate>
      </b:Author>
    </b:Author>
    <b:URL>https://www.elcomercio.com/tendencias/sociedad/tenencia-compartida-hijos-reglas-codigodelaninez.html</b:URL>
    <b:RefOrder>80</b:RefOrder>
  </b:Source>
  <b:Source>
    <b:Tag>Reg</b:Tag>
    <b:SourceType>Report</b:SourceType>
    <b:Guid>{68ECDFCE-907F-47DF-90B1-42CD36BC90FE}</b:Guid>
    <b:Publisher>Registro Oficial Suplemento 46 del 24-Jun-2005</b:Publisher>
    <b:Title>Código Civil</b:Title>
    <b:Author>
      <b:Author>
        <b:Corporate>Honorable Congreso Nacional</b:Corporate>
      </b:Author>
    </b:Author>
    <b:Year>2019</b:Year>
    <b:City>Quito</b:City>
    <b:RefOrder>81</b:RefOrder>
  </b:Source>
  <b:Source>
    <b:Tag>Con03</b:Tag>
    <b:SourceType>Report</b:SourceType>
    <b:Guid>{2F450B74-6D27-48FB-A765-B7576ADF36A0}</b:Guid>
    <b:Title>Código de la Niñez y Adolescencia</b:Title>
    <b:Year>2003</b:Year>
    <b:Author>
      <b:Author>
        <b:Corporate>Congreso Nacional</b:Corporate>
      </b:Author>
    </b:Author>
    <b:Publisher>Ley No. 2002-100</b:Publisher>
    <b:City>Quito</b:City>
    <b:RefOrder>82</b:RefOrder>
  </b:Source>
  <b:Source>
    <b:Tag>Mil19</b:Tag>
    <b:SourceType>Report</b:SourceType>
    <b:Guid>{7DA69F24-A488-43AE-8977-0B513249D511}</b:Guid>
    <b:Author>
      <b:Author>
        <b:NameList>
          <b:Person>
            <b:Last>Milton</b:Last>
            <b:First>García</b:First>
          </b:Person>
          <b:Person>
            <b:Last>Falconí</b:Last>
            <b:First>Robert</b:First>
            <b:Middle>A</b:Middle>
          </b:Person>
        </b:NameList>
      </b:Author>
    </b:Author>
    <b:Title>Las reglas para la tenencia de los hijos menores de edad cuyos Padres se divorcian y los Derechos de estos</b:Title>
    <b:Year>2019</b:Year>
    <b:Publisher>Universidad Nacional de Chimborazo</b:Publisher>
    <b:City>Riobamba</b:City>
    <b:RefOrder>83</b:RefOrder>
  </b:Source>
  <b:Source>
    <b:Tag>Héc14</b:Tag>
    <b:SourceType>Report</b:SourceType>
    <b:Guid>{89E91791-6A45-4B71-9992-365116B9EC48}</b:Guid>
    <b:Author>
      <b:Author>
        <b:NameList>
          <b:Person>
            <b:Last>Ramos</b:Last>
            <b:First>Héctor</b:First>
          </b:Person>
          <b:Person>
            <b:Last>Tinajero</b:Last>
            <b:First>Renán</b:First>
          </b:Person>
        </b:NameList>
      </b:Author>
    </b:Author>
    <b:Title>Tenencia de los hijos menores de edad luego del divorcio o separación encaminada a la tenencia compartida de los padres</b:Title>
    <b:Year>2014</b:Year>
    <b:Publisher>Universidad Central del Ecuador</b:Publisher>
    <b:City>Quito</b:City>
    <b:RefOrder>84</b:RefOrder>
  </b:Source>
  <b:Source>
    <b:Tag>REP21</b:Tag>
    <b:SourceType>Report</b:SourceType>
    <b:Guid>{CEBFC4ED-958B-41BB-B902-7B7127A0093C}</b:Guid>
    <b:Title>Código Orgánico General de Procesos, COGEP</b:Title>
    <b:Year>2021</b:Year>
    <b:Author>
      <b:Author>
        <b:Corporate>República del Ecuador</b:Corporate>
      </b:Author>
    </b:Author>
    <b:Publisher>Registro Oficial Suplemento 506 de 22-may.-2015</b:Publisher>
    <b:City>Quito</b:City>
    <b:RefOrder>85</b:RefOrder>
  </b:Source>
  <b:Source>
    <b:Tag>Mur202</b:Tag>
    <b:SourceType>JournalArticle</b:SourceType>
    <b:Guid>{3CE35E56-F394-4912-BC8A-3A60D78C61FA}</b:Guid>
    <b:Title>Viabilidad de la tenencia compartida conforme el bloque de constitucionalidad ecuatoriano</b:Title>
    <b:Year>2020</b:Year>
    <b:Author>
      <b:Author>
        <b:NameList>
          <b:Person>
            <b:Last>Murillo</b:Last>
            <b:First>Christian</b:First>
          </b:Person>
          <b:Person>
            <b:Last>Vázquez</b:Last>
            <b:First>José</b:First>
          </b:Person>
        </b:NameList>
      </b:Author>
    </b:Author>
    <b:JournalName>FIPCAEC (Edición 20) Vol. 5, No 3</b:JournalName>
    <b:Pages>637-667</b:Pages>
    <b:RefOrder>86</b:RefOrder>
  </b:Source>
  <b:Source>
    <b:Tag>Cue15</b:Tag>
    <b:SourceType>JournalArticle</b:SourceType>
    <b:Guid>{2514831A-BDBB-4F77-B1DA-5BD8879E3F00}</b:Guid>
    <b:Author>
      <b:Author>
        <b:NameList>
          <b:Person>
            <b:Last>Cuetos</b:Last>
            <b:First>F</b:First>
          </b:Person>
          <b:Person>
            <b:Last>Suarez</b:Last>
            <b:First>P</b:First>
          </b:Person>
          <b:Person>
            <b:Last>Molina</b:Last>
            <b:First>M</b:First>
          </b:Person>
        </b:NameList>
      </b:Author>
    </b:Author>
    <b:Title>Test para la detección temprana de las dificultades en el aprendizaje de la lectura y escritura</b:Title>
    <b:Year>2015</b:Year>
    <b:Publisher>Pediatría Atención Primaria</b:Publisher>
    <b:City>Madrid</b:City>
    <b:JournalName>Pediatría Atención Primaria</b:JournalName>
    <b:Pages>99-107</b:Pages>
    <b:Volume>17</b:Volume>
    <b:Issue>66</b:Issue>
    <b:URL>https://scielo.isciii.es/scielo.php?script=sci_arttext&amp;pid=S1139-76322015000300002</b:URL>
    <b:RefOrder>87</b:RefOrder>
  </b:Source>
  <b:Source>
    <b:Tag>Ser15</b:Tag>
    <b:SourceType>DocumentFromInternetSite</b:SourceType>
    <b:Guid>{13D62D58-2307-4CCD-8E5C-7AA3A3CEEFFC}</b:Guid>
    <b:Author>
      <b:Author>
        <b:NameList>
          <b:Person>
            <b:Last>Serna</b:Last>
            <b:First>Rosa</b:First>
          </b:Person>
        </b:NameList>
      </b:Author>
    </b:Author>
    <b:Title>Diseño, desarrollo y evaluación de un programa de acceso a la lectoescritura para alumnado con graves problemas de aprendizaje</b:Title>
    <b:Year>2015</b:Year>
    <b:InternetSiteTitle>Universidad de Murcia</b:InternetSiteTitle>
    <b:URL>https://dialnet.unirioja.es/servlet/tesis?codigo=126318</b:URL>
    <b:RefOrder>88</b:RefOrder>
  </b:Source>
  <b:Source>
    <b:Tag>Lla181</b:Tag>
    <b:SourceType>DocumentFromInternetSite</b:SourceType>
    <b:Guid>{BC1A8C86-FCCB-4B0F-A40F-3620969ED192}</b:Guid>
    <b:Author>
      <b:Author>
        <b:NameList>
          <b:Person>
            <b:Last>Llanqui</b:Last>
            <b:First>N</b:First>
          </b:Person>
          <b:Person>
            <b:Last>Suntasig</b:Last>
            <b:First>G</b:First>
          </b:Person>
        </b:NameList>
      </b:Author>
    </b:Author>
    <b:Title>Estrategias activas de lectoescritura</b:Title>
    <b:Year>2018</b:Year>
    <b:InternetSiteTitle>Universidad Técnica de Cotopaxi</b:InternetSiteTitle>
    <b:URL>http://repositorio.utc.edu.ec/handle/27000/4537</b:URL>
    <b:RefOrder>89</b:RefOrder>
  </b:Source>
  <b:Source>
    <b:Tag>Men19</b:Tag>
    <b:SourceType>DocumentFromInternetSite</b:SourceType>
    <b:Guid>{BB683ED2-42D4-4A4F-A3EA-284112191943}</b:Guid>
    <b:Title>Sistema de actividades para el desarrollo de la escritura.</b:Title>
    <b:Year>2019</b:Year>
    <b:Author>
      <b:Author>
        <b:NameList>
          <b:Person>
            <b:Last>Meneses</b:Last>
            <b:First>L</b:First>
          </b:Person>
          <b:Person>
            <b:Last>Vargas</b:Last>
            <b:First>A</b:First>
          </b:Person>
        </b:NameList>
      </b:Author>
    </b:Author>
    <b:InternetSiteTitle>Repositorio UNAE</b:InternetSiteTitle>
    <b:URL>http://repositorio.unae.edu.ec/bitstream/56000/1135/1/Sistema%20de%20actividades%20para%20el%20desarollo%20de%20la%20escritura%20creativa%20en%20estudiantes%20de%204%C2%B0%20grado%20de%20la%20educaci%C3%B3n%20General%20B%C3%A1sica%20Meneses%20y%20%20Varga</b:URL>
    <b:RefOrder>90</b:RefOrder>
  </b:Source>
  <b:Source>
    <b:Tag>Car18</b:Tag>
    <b:SourceType>DocumentFromInternetSite</b:SourceType>
    <b:Guid>{3FD75FBD-8A4A-452D-898B-7032D992DE54}</b:Guid>
    <b:Author>
      <b:Author>
        <b:NameList>
          <b:Person>
            <b:Last>Cardenas</b:Last>
            <b:First>R</b:First>
          </b:Person>
          <b:Person>
            <b:Last>Ortega</b:Last>
            <b:First>T.</b:First>
          </b:Person>
        </b:NameList>
      </b:Author>
    </b:Author>
    <b:Title>Estrategias metodologicaspara mejorar el proceso de lectoescritura de septim grado de la Escuela E.G.B. Antonio Mancilla, año 2017-2018</b:Title>
    <b:Year>2018</b:Year>
    <b:InternetSiteTitle> Universidad Politecnica Salesiana</b:InternetSiteTitle>
    <b:URL>https://dspace.ups.edu.ec/bitstream/123456789/16338/1/UPS-CT007960.pdf</b:URL>
    <b:RefOrder>91</b:RefOrder>
  </b:Source>
  <b:Source>
    <b:Tag>Cel21</b:Tag>
    <b:SourceType>DocumentFromInternetSite</b:SourceType>
    <b:Guid>{898BC323-862C-46C5-B7FA-9B988ACF621F}</b:Guid>
    <b:Title>Estrategias didacticas para la enseñanza de la lectoescritura en estudiantes de sexto grado de la Escuela Zoila Ugarte de Landívar.</b:Title>
    <b:Year>2021</b:Year>
    <b:Author>
      <b:Author>
        <b:NameList>
          <b:Person>
            <b:Last>Celi</b:Last>
            <b:First>Diego</b:First>
          </b:Person>
          <b:Person>
            <b:Last>Salinas</b:Last>
            <b:First>Yenny</b:First>
          </b:Person>
        </b:NameList>
      </b:Author>
    </b:Author>
    <b:InternetSiteTitle>Universidad Técnica de Machala</b:InternetSiteTitle>
    <b:URL>http://repositorio.utmachala.edu.ec/handle/48000/17081</b:URL>
    <b:RefOrder>92</b:RefOrder>
  </b:Source>
  <b:Source>
    <b:Tag>Dol21</b:Tag>
    <b:SourceType>JournalArticle</b:SourceType>
    <b:Guid>{2BAE69C8-8A8E-43CB-9879-8E29AB753273}</b:Guid>
    <b:Title>Estrategias metodológicas una práctica docente para  el alcance de la lectoescritura</b:Title>
    <b:Year>2021</b:Year>
    <b:URL>https://dialnet.unirioja.es/descarga/articulo/7926908.pdf</b:URL>
    <b:Author>
      <b:Author>
        <b:NameList>
          <b:Person>
            <b:Last>Quiroz</b:Last>
            <b:First>Dolores</b:First>
          </b:Person>
          <b:Person>
            <b:Last>Delgado</b:Last>
            <b:First>Janeth </b:First>
          </b:Person>
        </b:NameList>
      </b:Author>
    </b:Author>
    <b:JournalName>Polo del Conocimiento</b:JournalName>
    <b:Pages>1745-1765</b:Pages>
    <b:Volume>6</b:Volume>
    <b:Issue>3</b:Issue>
    <b:RefOrder>93</b:RefOrder>
  </b:Source>
  <b:Source>
    <b:Tag>Mon20</b:Tag>
    <b:SourceType>DocumentFromInternetSite</b:SourceType>
    <b:Guid>{A8A3746F-9465-408D-8BD3-C6293A83006B}</b:Guid>
    <b:Author>
      <b:Author>
        <b:NameList>
          <b:Person>
            <b:Last>Montoya</b:Last>
            <b:First>Ana</b:First>
            <b:Middle>Cecilia</b:Middle>
          </b:Person>
        </b:NameList>
      </b:Author>
    </b:Author>
    <b:Title>Parafraseo para mejorar la Comprensión lectora en textos narrativos en los estudiantes de cuarto grado de primaria de la Institución Educativa Nª 81658 Huascar</b:Title>
    <b:Year>2020</b:Year>
    <b:URL>https://repositorio.ucv.edu.pe/handle/20.500.12692/48660</b:URL>
    <b:RefOrder>94</b:RefOrder>
  </b:Source>
  <b:Source>
    <b:Tag>Riv15</b:Tag>
    <b:SourceType>JournalArticle</b:SourceType>
    <b:Guid>{C287502A-A97F-49C5-A2B3-E0031E8561CA}</b:Guid>
    <b:Title>Metodología para el desarrollo de la compresión lectora en el proceso enseñanza-aprendizaje</b:Title>
    <b:Year>2015</b:Year>
    <b:Author>
      <b:Author>
        <b:NameList>
          <b:Person>
            <b:Last>Rivera</b:Last>
            <b:First>M</b:First>
          </b:Person>
        </b:NameList>
      </b:Author>
    </b:Author>
    <b:JournalName>Revista Cientifica - Dominio de las ciencias</b:JournalName>
    <b:Pages>47-61</b:Pages>
    <b:RefOrder>95</b:RefOrder>
  </b:Source>
  <b:Source>
    <b:Tag>Med18</b:Tag>
    <b:SourceType>JournalArticle</b:SourceType>
    <b:Guid>{561D0380-2A52-40CB-845C-F9A5AD73D691}</b:Guid>
    <b:Title>Uso de las tic como estrategia de mediación para el aprendizaje de la lectura en educación primaria.</b:Title>
    <b:Year>2018</b:Year>
    <b:Author>
      <b:Author>
        <b:NameList>
          <b:Person>
            <b:Last>Medellin</b:Last>
            <b:First>Marta</b:First>
          </b:Person>
          <b:Person>
            <b:Last>Gómez</b:Last>
            <b:First>José</b:First>
          </b:Person>
        </b:NameList>
      </b:Author>
    </b:Author>
    <b:JournalName>Gestión,competitividad e innovacion.</b:JournalName>
    <b:Pages>12- 21</b:Pages>
    <b:RefOrder>96</b:RefOrder>
  </b:Source>
  <b:Source>
    <b:Tag>Cas21</b:Tag>
    <b:SourceType>Report</b:SourceType>
    <b:Guid>{A39B8978-22EE-405D-8BF8-ADB5E231CDB5}</b:Guid>
    <b:Author>
      <b:Author>
        <b:NameList>
          <b:Person>
            <b:Last>Castellanos</b:Last>
            <b:First>Andrea</b:First>
          </b:Person>
        </b:NameList>
      </b:Author>
    </b:Author>
    <b:Title>Desarrollo de las habilidades de la escritura creativa por medio del ACD</b:Title>
    <b:Year>2021</b:Year>
    <b:Publisher>Repositorio Institucional UPN</b:Publisher>
    <b:City>Bogotá</b:City>
    <b:RefOrder>97</b:RefOrder>
  </b:Source>
  <b:Source>
    <b:Tag>Cue20</b:Tag>
    <b:SourceType>Report</b:SourceType>
    <b:Guid>{5082126E-7B2D-4FAB-A149-44CE252DE067}</b:Guid>
    <b:Author>
      <b:Author>
        <b:NameList>
          <b:Person>
            <b:Last>Cuervo</b:Last>
            <b:First>Silvia</b:First>
          </b:Person>
        </b:NameList>
      </b:Author>
    </b:Author>
    <b:Title>La escritura creativa dentro del aula</b:Title>
    <b:Year>2020</b:Year>
    <b:Publisher>Repositorio Institucional RIULL</b:Publisher>
    <b:City>San Cristobal, España</b:City>
    <b:RefOrder>98</b:RefOrder>
  </b:Source>
  <b:Source>
    <b:Tag>Mar21</b:Tag>
    <b:SourceType>JournalArticle</b:SourceType>
    <b:Guid>{212429E0-4CEA-4AB0-9183-CC6FCE1D6EEB}</b:Guid>
    <b:Title>Prácticas educativas, memorias e oralidades</b:Title>
    <b:Year>2021</b:Year>
    <b:Author>
      <b:Author>
        <b:NameList>
          <b:Person>
            <b:Last>Maraver</b:Last>
            <b:First>Rocío</b:First>
          </b:Person>
        </b:NameList>
      </b:Author>
    </b:Author>
    <b:JournalName>Rev. Pemo, Fortaleza, Vol. 3, Nº 1</b:JournalName>
    <b:Pages>14</b:Pages>
    <b:RefOrder>99</b:RefOrder>
  </b:Source>
  <b:Source>
    <b:Tag>San18</b:Tag>
    <b:SourceType>Report</b:SourceType>
    <b:Guid>{DE1605F3-F409-4C8C-936C-687F187F3607}</b:Guid>
    <b:Author>
      <b:Author>
        <b:NameList>
          <b:Person>
            <b:Last>Sanchez</b:Last>
            <b:First>karent</b:First>
          </b:Person>
          <b:Person>
            <b:Last>Suarnavar</b:Last>
            <b:First>Julissa</b:First>
          </b:Person>
          <b:Person>
            <b:Last>Saldaña</b:Last>
            <b:First>Jacved</b:First>
          </b:Person>
        </b:NameList>
      </b:Author>
    </b:Author>
    <b:Title>Escritura creativa como estrategia didáctica en la producción de textos en estudiantes de cuarto grado de educación primaria.</b:Title>
    <b:Year>2018</b:Year>
    <b:Publisher>Repositorio</b:Publisher>
    <b:City>Lima- Perú</b:City>
    <b:RefOrder>100</b:RefOrder>
  </b:Source>
  <b:Source>
    <b:Tag>Pei201</b:Tag>
    <b:SourceType>JournalArticle</b:SourceType>
    <b:Guid>{6A775557-BEA4-4178-A968-B205D986417A}</b:Guid>
    <b:Author>
      <b:Author>
        <b:NameList>
          <b:Person>
            <b:Last>Peiro</b:Last>
            <b:First>Rosario.</b:First>
          </b:Person>
        </b:NameList>
      </b:Author>
    </b:Author>
    <b:Title>Escritura creativa.</b:Title>
    <b:JournalName>Economipedia.com</b:JournalName>
    <b:Year>2020</b:Year>
    <b:RefOrder>101</b:RefOrder>
  </b:Source>
  <b:Source>
    <b:Tag>Veg20</b:Tag>
    <b:SourceType>JournalArticle</b:SourceType>
    <b:Guid>{3F047018-ABDB-4735-B45A-48852E994090}</b:Guid>
    <b:Title>La evaluación de la escritura creativa en el contexto universitario</b:Title>
    <b:Year>2020</b:Year>
    <b:Author>
      <b:Author>
        <b:NameList>
          <b:Person>
            <b:Last>Vega</b:Last>
            <b:First>Pilar</b:First>
          </b:Person>
        </b:NameList>
      </b:Author>
    </b:Author>
    <b:JournalName>ARBOR Ciencia, Pensamiento y Cultura</b:JournalName>
    <b:Pages>1-14</b:Pages>
    <b:RefOrder>102</b:RefOrder>
  </b:Source>
  <b:Source>
    <b:Tag>Her15</b:Tag>
    <b:SourceType>JournalArticle</b:SourceType>
    <b:Guid>{A1BF2F91-C8FF-4D71-A641-3F1CFAE14A43}</b:Guid>
    <b:Author>
      <b:Author>
        <b:NameList>
          <b:Person>
            <b:Last>Hernández</b:Last>
            <b:First>J</b:First>
          </b:Person>
          <b:Person>
            <b:Last>Sánchez</b:Last>
            <b:First>A</b:First>
          </b:Person>
        </b:NameList>
      </b:Author>
    </b:Author>
    <b:Title>Indicadores para evaluar escritura creativa en educación media superior</b:Title>
    <b:JournalName>Educación y ciencia </b:JournalName>
    <b:Year>2015</b:Year>
    <b:Pages>41-56</b:Pages>
    <b:RefOrder>103</b:RefOrder>
  </b:Source>
  <b:Source>
    <b:Tag>Hua16</b:Tag>
    <b:SourceType>DocumentFromInternetSite</b:SourceType>
    <b:Guid>{A9E8C697-8DCB-4EC7-B8EA-86A5ECEF8A9E}</b:Guid>
    <b:Title>La aplicación de  las técnicas del parafraseo y el resumen</b:Title>
    <b:Year>2016</b:Year>
    <b:Author>
      <b:Author>
        <b:NameList>
          <b:Person>
            <b:Last>Huanca</b:Last>
            <b:First>Gladys</b:First>
          </b:Person>
          <b:Person>
            <b:Last>Sacachipana</b:Last>
            <b:First>Ruth</b:First>
          </b:Person>
        </b:NameList>
      </b:Author>
    </b:Author>
    <b:InternetSiteTitle>Universidad Nacional del Antiplano</b:InternetSiteTitle>
    <b:URL>http://repositorio.unap.edu.pe/handle/UNAP/3688</b:URL>
    <b:RefOrder>104</b:RefOrder>
  </b:Source>
  <b:Source>
    <b:Tag>Gal07</b:Tag>
    <b:SourceType>JournalArticle</b:SourceType>
    <b:Guid>{237803F4-15AA-4B63-8647-80CD711F7955}</b:Guid>
    <b:Title>El proceso creativo y la formación del docente.</b:Title>
    <b:Year>2017</b:Year>
    <b:Author>
      <b:Author>
        <b:NameList>
          <b:Person>
            <b:Last>Galvis</b:Last>
            <b:First>Rosa</b:First>
          </b:Person>
        </b:NameList>
      </b:Author>
    </b:Author>
    <b:JournalName>Laurus, Revista de Educación.</b:JournalName>
    <b:Pages>82-98</b:Pages>
    <b:URL>https://www.redalyc.org/pdf/761/76102305.pdf</b:URL>
    <b:RefOrder>105</b:RefOrder>
  </b:Source>
  <b:Source>
    <b:Tag>Cha051</b:Tag>
    <b:SourceType>Book</b:SourceType>
    <b:Guid>{C47E5E2C-38D8-4921-B56B-7B937D17D410}</b:Guid>
    <b:Author>
      <b:Author>
        <b:NameList>
          <b:Person>
            <b:Last>Crespo</b:Last>
            <b:First>A.</b:First>
          </b:Person>
        </b:NameList>
      </b:Author>
    </b:Author>
    <b:Title>Creatividad y Educación: prácticas docentes para fomentar la creatividad en niños de nivel inicial.</b:Title>
    <b:JournalName>Actualidades Investigativas en Ecuador.</b:JournalName>
    <b:Year>2018</b:Year>
    <b:Pages>1-31</b:Pages>
    <b:City>Santa Fé, Argentina</b:City>
    <b:Publisher>Grupo Compás</b:Publisher>
    <b:RefOrder>106</b:RefOrder>
  </b:Source>
  <b:Source>
    <b:Tag>Leo18</b:Tag>
    <b:SourceType>JournalArticle</b:SourceType>
    <b:Guid>{6ED8B163-D452-4A01-9F7A-903A2CE6856B}</b:Guid>
    <b:Author>
      <b:Author>
        <b:NameList>
          <b:Person>
            <b:Last>Leonetti</b:Last>
            <b:First>Manuel</b:First>
          </b:Person>
        </b:NameList>
      </b:Author>
    </b:Author>
    <b:Title>Aprovechar la gramática para mejorar la redacción.</b:Title>
    <b:JournalName>Revista de Gramática orientadas a las Competencias.</b:JournalName>
    <b:Year>2018</b:Year>
    <b:Pages>1-28</b:Pages>
    <b:Volume>1</b:Volume>
    <b:Issue>1</b:Issue>
    <b:URL>https://ddd.uab.cat/pub/regroc/regroc_a2018v1n1/regroc_a2018v1n1p237.pdf</b:URL>
    <b:RefOrder>107</b:RefOrder>
  </b:Source>
  <b:Source>
    <b:Tag>Cem08</b:Tag>
    <b:SourceType>JournalArticle</b:SourceType>
    <b:Guid>{4A7D2A12-AE8A-4FB4-B956-AD149F3E32DE}</b:Guid>
    <b:Author>
      <b:Author>
        <b:NameList>
          <b:Person>
            <b:Last>Cemades</b:Last>
            <b:First>Inmaculada</b:First>
          </b:Person>
        </b:NameList>
      </b:Author>
    </b:Author>
    <b:Title>Desarrollo de la creatividad en Educación Infantil.</b:Title>
    <b:JournalName>Creatividad y Sociedad.</b:JournalName>
    <b:Year>2018</b:Year>
    <b:Pages>1-14</b:Pages>
    <b:URL>https://dialnet.unirioja.es/servlet/articulo?codigo=4566368</b:URL>
    <b:RefOrder>108</b:RefOrder>
  </b:Source>
  <b:Source>
    <b:Tag>INC20</b:Tag>
    <b:SourceType>DocumentFromInternetSite</b:SourceType>
    <b:Guid>{6897485B-1AB9-4A56-A54E-563A453C52F4}</b:Guid>
    <b:Title>https://www.ecuadorencifras.gob.ec/3-de-cada-10-ecuatorianos-no-destinan-tiempo-a-la-lectura/</b:Title>
    <b:Year>2012</b:Year>
    <b:Author>
      <b:Author>
        <b:NameList>
          <b:Person>
            <b:Last>INEC</b:Last>
          </b:Person>
        </b:NameList>
      </b:Author>
    </b:Author>
    <b:URL>https://www.ecuadorencifras.gob.ec/3-de-cada-10-ecuatorianos-no-destinan-tiempo-a-la-lectura/</b:URL>
    <b:RefOrder>109</b:RefOrder>
  </b:Source>
  <b:Source>
    <b:Tag>Min18</b:Tag>
    <b:SourceType>DocumentFromInternetSite</b:SourceType>
    <b:Guid>{0177338B-83CC-41E0-9C77-679861668582}</b:Guid>
    <b:Title>Informe General Pisa </b:Title>
    <b:Year>2018</b:Year>
    <b:Author>
      <b:Author>
        <b:Corporate>Ministerio de Educación del Ecuador</b:Corporate>
      </b:Author>
    </b:Author>
    <b:URL>http://evaluaciones.evaluacion.gob.ec/BI/informe-general-pisa-2018/</b:URL>
    <b:RefOrder>110</b:RefOrder>
  </b:Source>
  <b:Source>
    <b:Tag>Fre16</b:Tag>
    <b:SourceType>Report</b:SourceType>
    <b:Guid>{617D1ACD-197F-4301-B1B3-DD31F657BFBC}</b:Guid>
    <b:Author>
      <b:Author>
        <b:NameList>
          <b:Person>
            <b:Last>Freile</b:Last>
            <b:First>Sandra</b:First>
            <b:Middle>Elizabeth</b:Middle>
          </b:Person>
        </b:NameList>
      </b:Author>
    </b:Author>
    <b:Title>La Comprensión Lectora en el Aprendizaje significativo de la Educación Básica</b:Title>
    <b:Year>2016</b:Year>
    <b:Publisher>Universidad Laica Eloy Alfaro de Manabí ext. Chone</b:Publisher>
    <b:City>Chone</b:City>
    <b:RefOrder>111</b:RefOrder>
  </b:Source>
  <b:Source>
    <b:Tag>Car17</b:Tag>
    <b:SourceType>JournalArticle</b:SourceType>
    <b:Guid>{3D9E89DD-ED18-4CE0-B4CE-322FE3503489}</b:Guid>
    <b:Author>
      <b:Author>
        <b:NameList>
          <b:Person>
            <b:Last>Toro Henao</b:Last>
            <b:First>C.</b:First>
            <b:Middle>M., Monroy Fonseca, M. N.</b:Middle>
          </b:Person>
        </b:NameList>
      </b:Author>
    </b:Author>
    <b:Title>Las TIC. estrategias para mejorar la competencia lectora interpretativa en el area de lenguaje</b:Title>
    <b:JournalName>Universidad Católica Luis Amigó, 1</b:JournalName>
    <b:Year>2017</b:Year>
    <b:Pages>139</b:Pages>
    <b:URL>https://doi.org/10.21501/25907565.2653</b:URL>
    <b:RefOrder>112</b:RefOrder>
  </b:Source>
  <b:Source>
    <b:Tag>VER18</b:Tag>
    <b:SourceType>Report</b:SourceType>
    <b:Guid>{59BC3202-F0E2-4749-A11F-941C6FCDE159}</b:Guid>
    <b:Author>
      <b:Author>
        <b:NameList>
          <b:Person>
            <b:Last>VERA</b:Last>
            <b:First>JOSÉ</b:First>
            <b:Middle>LUIS</b:Middle>
          </b:Person>
        </b:NameList>
      </b:Author>
    </b:Author>
    <b:Title>LA COMPRENSIÓN LECTORA EN EL RENDIMIENTO ACADÉMICO, DISEÑO DE UN SOFTWARE EDUCATIVO</b:Title>
    <b:Year>2018</b:Year>
    <b:Publisher>UNIVERSIDAD DE GUAYAQUIL FACULTAD DE FILOSOFÍA, LETRAS Y CIENCIAS EN LA EDUCACIÓN</b:Publisher>
    <b:City>Guayaquil</b:City>
    <b:Pages>59</b:Pages>
    <b:URL>http://repositorio.ug.edu.ec/bitstream/redug/36402/1/BFILO-PSM-18P295.pdf</b:URL>
    <b:RefOrder>113</b:RefOrder>
  </b:Source>
  <b:Source>
    <b:Tag>Gar18</b:Tag>
    <b:SourceType>JournalArticle</b:SourceType>
    <b:Guid>{65762736-A0E8-4D7E-8A1B-9CBB17555848}</b:Guid>
    <b:Author>
      <b:Author>
        <b:NameList>
          <b:Person>
            <b:Last>García</b:Last>
            <b:First>M</b:First>
          </b:Person>
          <b:Person>
            <b:Last>Arévalo</b:Last>
            <b:First>M</b:First>
          </b:Person>
          <b:Person>
            <b:Last>Hernández</b:Last>
            <b:First>C.</b:First>
          </b:Person>
        </b:NameList>
      </b:Author>
    </b:Author>
    <b:Title>La comprensión lectora y el rendimiento escolar</b:Title>
    <b:JournalName>Cuadernos de Lingüística Hispánica</b:JournalName>
    <b:Year>2018</b:Year>
    <b:Pages>155-174</b:Pages>
    <b:Issue>32</b:Issue>
    <b:URL>http://www.scielo.org.co/pdf/clin/n32/2346-1829-clin-32-155.pdf</b:URL>
    <b:RefOrder>114</b:RefOrder>
  </b:Source>
  <b:Source>
    <b:Tag>MarcadorDePosición2</b:Tag>
    <b:SourceType>Report</b:SourceType>
    <b:Guid>{6185DCEA-EC7F-40D1-B883-B5A5C433191F}</b:Guid>
    <b:Title>Comprensión lectora y el aprendizaje en el área de Comunicación Integral en los estudiantes.....</b:Title>
    <b:Year>2018</b:Year>
    <b:Author>
      <b:Author>
        <b:NameList>
          <b:Person>
            <b:Last>Cuñachi </b:Last>
            <b:First>Ghina</b:First>
          </b:Person>
          <b:Person>
            <b:Last>Leyva </b:Last>
            <b:First>Gisell</b:First>
          </b:Person>
        </b:NameList>
      </b:Author>
    </b:Author>
    <b:Publisher>UNIVERSIDAD NACIONAL DE EDUCACIÓN ENRIQUE GUZMÁN Y VALLE</b:Publisher>
    <b:City>La Cantuta, Perú</b:City>
    <b:RefOrder>115</b:RefOrder>
  </b:Source>
  <b:Source>
    <b:Tag>Roj16</b:Tag>
    <b:SourceType>JournalArticle</b:SourceType>
    <b:Guid>{A8AFB6F8-650B-4959-A7EB-BACF6CE70C50}</b:Guid>
    <b:Title>La comprensión lectora en estudiantes de educación primaria en Perú</b:Title>
    <b:Year>2016</b:Year>
    <b:Author>
      <b:Author>
        <b:NameList>
          <b:Person>
            <b:Last>Rojas</b:Last>
            <b:First>Margarita</b:First>
            <b:Middle>Rojas Cáceres, Alejandro Cruzata Martínez</b:Middle>
          </b:Person>
        </b:NameList>
      </b:Author>
    </b:Author>
    <b:JournalName>Revista de Educación</b:JournalName>
    <b:Pages>339, 353</b:Pages>
    <b:URL>http://fh.mdp.edu.ar/revistas/index.php/r_educ/article/view/1916</b:URL>
    <b:RefOrder>116</b:RefOrder>
  </b:Source>
  <b:Source>
    <b:Tag>Ala19</b:Tag>
    <b:SourceType>JournalArticle</b:SourceType>
    <b:Guid>{07C99AC1-D06E-4103-9FE1-3D1C3B2A3D59}</b:Guid>
    <b:Title>Empleo de las estrategias de aprendizaje en la universidad. Un estudio de Caso.</b:Title>
    <b:PublicationTitle>Propósitos y Representaciones</b:PublicationTitle>
    <b:Year>2019</b:Year>
    <b:Author>
      <b:Author>
        <b:NameList>
          <b:Person>
            <b:Last>Alarcón</b:Last>
            <b:First>A.,</b:First>
            <b:Middle>Alcas, N., Alarcón, H., Natividad, J., Rodríguez, A.</b:Middle>
          </b:Person>
        </b:NameList>
      </b:Author>
    </b:Author>
    <b:Pages>10-32</b:Pages>
    <b:Volume>7</b:Volume>
    <b:Issue>1</b:Issue>
    <b:URL>http://www.scielo.org.pe/pdf/pyr/v7n1/a02v7n1.pdf</b:URL>
    <b:DOI>http://dx.doi.org/10.20511/pyr2019.v7n1.265</b:DOI>
    <b:RefOrder>117</b:RefOrder>
  </b:Source>
  <b:Source>
    <b:Tag>Mej191</b:Tag>
    <b:SourceType>JournalArticle</b:SourceType>
    <b:Guid>{36B019D3-12E4-407F-98D7-F653501D5532}</b:Guid>
    <b:Title>Qué son las Competencias Interpretativas?</b:Title>
    <b:Year>2019</b:Year>
    <b:URL>https://www.lifeder.com/competencias-interpretativas/.</b:URL>
    <b:Author>
      <b:Author>
        <b:NameList>
          <b:Person>
            <b:Last>Mejia</b:Last>
            <b:First>Tatiana</b:First>
          </b:Person>
        </b:NameList>
      </b:Author>
    </b:Author>
    <b:JournalName>Lifeder.com</b:JournalName>
    <b:Pages>3</b:Pages>
    <b:RefOrder>118</b:RefOrder>
  </b:Source>
  <b:Source>
    <b:Tag>Már19</b:Tag>
    <b:SourceType>Report</b:SourceType>
    <b:Guid>{0FF3AA3C-6A0A-404D-9883-C18CC7C0F4D3}</b:Guid>
    <b:Author>
      <b:Author>
        <b:NameList>
          <b:Person>
            <b:Last>Márquez</b:Last>
            <b:First>Julia</b:First>
            <b:Middle>Martha</b:Middle>
          </b:Person>
        </b:NameList>
      </b:Author>
    </b:Author>
    <b:Title>Comprensión Lectora para mejorar el rendimiento escolar en los estudaintes del subnivel  básica superior.</b:Title>
    <b:Year>2019</b:Year>
    <b:City>Guayaquil</b:City>
    <b:Pages>34</b:Pages>
    <b:RefOrder>119</b:RefOrder>
  </b:Source>
  <b:Source>
    <b:Tag>Gal19</b:Tag>
    <b:SourceType>Book</b:SourceType>
    <b:Guid>{123EC6B4-656E-4A19-B681-01728185787D}</b:Guid>
    <b:Author>
      <b:Author>
        <b:NameList>
          <b:Person>
            <b:Last>Galve</b:Last>
            <b:First>José</b:First>
            <b:Middle>Luis</b:Middle>
          </b:Person>
          <b:Person>
            <b:Last>Ramos</b:Last>
            <b:First>José</b:First>
            <b:Middle>Luis</b:Middle>
          </b:Person>
        </b:NameList>
      </b:Author>
    </b:Author>
    <b:Title>Dificultades específicas de lecto-escritura</b:Title>
    <b:Year>2019</b:Year>
    <b:Publisher>Ciencias de la Educación Preescolar y Especial</b:Publisher>
    <b:RefOrder>120</b:RefOrder>
  </b:Source>
  <b:Source>
    <b:Tag>Rui20</b:Tag>
    <b:SourceType>Book</b:SourceType>
    <b:Guid>{A67246B7-0C56-4604-B7EB-C3E1BA8FB4E6}</b:Guid>
    <b:Author>
      <b:Author>
        <b:NameList>
          <b:Person>
            <b:Last>Ruiz Fernández</b:Last>
            <b:First>José</b:First>
          </b:Person>
        </b:NameList>
      </b:Author>
    </b:Author>
    <b:Title>Comprensión, significado y lenguaje. </b:Title>
    <b:Year>2020</b:Year>
    <b:Publisher>Versión Kindle </b:Publisher>
    <b:RefOrder>121</b:RefOrder>
  </b:Source>
  <b:Source>
    <b:Tag>Cal19</b:Tag>
    <b:SourceType>Book</b:SourceType>
    <b:Guid>{A9CA8697-6E9E-4622-90F1-EAA54B89D4F9}</b:Guid>
    <b:Author>
      <b:Author>
        <b:NameList>
          <b:Person>
            <b:Last>Calero</b:Last>
            <b:First>Andrés</b:First>
          </b:Person>
        </b:NameList>
      </b:Author>
    </b:Author>
    <b:Title>Comprensión lectora. Estrategías que desarrollan lectores autorregulados</b:Title>
    <b:Year>2019</b:Year>
    <b:Publisher>Calero</b:Publisher>
    <b:RefOrder>122</b:RefOrder>
  </b:Source>
  <b:Source>
    <b:Tag>DEC48</b:Tag>
    <b:SourceType>InternetSite</b:SourceType>
    <b:Guid>{488D9A3A-3F1A-4241-BD7E-266E271D15FC}</b:Guid>
    <b:Author>
      <b:Author>
        <b:Corporate>DECLARACIÓN UNIVERSAL DE DERECHOS HUMANOS</b:Corporate>
      </b:Author>
    </b:Author>
    <b:Year>1948</b:Year>
    <b:Month>diciembre</b:Month>
    <b:Day>10</b:Day>
    <b:URL>https://www.consejodiscapacidades.gob.ec/wp-content/uploads/downloads/2014/02/declaracion_universal_derechos.pdf</b:URL>
    <b:RefOrder>123</b:RefOrder>
  </b:Source>
  <b:Source>
    <b:Tag>Loo</b:Tag>
    <b:SourceType>InternetSite</b:SourceType>
    <b:Guid>{8048D628-805E-46F6-94F1-CB966A992376}</b:Guid>
    <b:Author>
      <b:Author>
        <b:NameList>
          <b:Person>
            <b:Last>Loor</b:Last>
            <b:First>Yandry</b:First>
          </b:Person>
          <b:Person>
            <b:Last>Benitez</b:Last>
            <b:First>Noriel</b:First>
          </b:Person>
        </b:NameList>
      </b:Author>
    </b:Author>
    <b:URL>https://www.derechoecuador.com/accion-de-proteccion-en-la-constitucion</b:URL>
    <b:Title>ACCIÓN DE PROTECCIÓN EN LA CONSTITUCIÓN</b:Title>
    <b:Year>2009</b:Year>
    <b:Month>agosto</b:Month>
    <b:Day>09</b:Day>
    <b:RefOrder>124</b:RefOrder>
  </b:Source>
  <b:Source>
    <b:Tag>Cev091</b:Tag>
    <b:SourceType>Book</b:SourceType>
    <b:Guid>{28A388CE-9062-0947-8A6C-4239E696E58D}</b:Guid>
    <b:Author>
      <b:Author>
        <b:NameList>
          <b:Person>
            <b:Last>Cevallos</b:Last>
            <b:First>I</b:First>
          </b:Person>
        </b:NameList>
      </b:Author>
    </b:Author>
    <b:Title>LA ACCION DE PROTECCIÓN ORDINARIA FORMALIDAD Y ADMISIBILIDAD EN EL ECUA. UNIVERSIDAD ANDINA SIMÓN BOLÍVAR SEDE ECUADOR</b:Title>
    <b:Year>2009</b:Year>
    <b:RefOrder>125</b:RefOrder>
  </b:Source>
  <b:Source>
    <b:Tag>Tru</b:Tag>
    <b:SourceType>InternetSite</b:SourceType>
    <b:Guid>{75CF9C40-86C3-F14F-AFA5-D682D93C8142}</b:Guid>
    <b:Author>
      <b:Author>
        <b:NameList>
          <b:Person>
            <b:Last>Trujillo</b:Last>
            <b:First>R</b:First>
          </b:Person>
        </b:NameList>
      </b:Author>
    </b:Author>
    <b:Title>LA ACCIÓN DE PROTECCIÓN COMO GARANTÍA CONSTITUCIONAL DE LOS DERECHOS HUMANOS. LA ACCIÓN DE PROTECCIÓN COMO GARANTÍA CONSTITUCIONAL DE LOS DERECHOS HUMANOS</b:Title>
    <b:URL>https://www.inredh.org/archivos/boletines/b_accion_proteccion.pdf</b:URL>
    <b:Year>2010</b:Year>
    <b:Month>agosto</b:Month>
    <b:Day>09</b:Day>
    <b:RefOrder>126</b:RefOrder>
  </b:Source>
  <b:Source>
    <b:Tag>Cor16</b:Tag>
    <b:SourceType>InternetSite</b:SourceType>
    <b:Guid>{FB39AB1B-0045-3E49-A111-21D6B1CB76C5}</b:Guid>
    <b:Title>ANÁLISIS DE LA ACCIÓN DE PROTECCIÓN</b:Title>
    <b:Year>2016</b:Year>
    <b:Author>
      <b:Author>
        <b:NameList>
          <b:Person>
            <b:Last>Cornejo Aguilar</b:Last>
            <b:First>J.</b:First>
            <b:Middle>S</b:Middle>
          </b:Person>
        </b:NameList>
      </b:Author>
    </b:Author>
    <b:InternetSiteTitle>Derecho Ecuador</b:InternetSiteTitle>
    <b:URL>https://www.derechoecuador.com/analisis-de-la-accion-de-proteccion</b:URL>
    <b:Month>junio</b:Month>
    <b:Day>13</b:Day>
    <b:RefOrder>127</b:RefOrder>
  </b:Source>
  <b:Source>
    <b:Tag>Agu18</b:Tag>
    <b:SourceType>JournalArticle</b:SourceType>
    <b:Guid>{1101B410-94E0-4B4E-8EC1-FC0C9C30A65A}</b:Guid>
    <b:Author>
      <b:Author>
        <b:NameList>
          <b:Person>
            <b:Last>Aguirre</b:Last>
            <b:First>Pamela</b:First>
          </b:Person>
          <b:Person>
            <b:Last>Alarcón</b:Last>
            <b:First>Pablo</b:First>
          </b:Person>
        </b:NameList>
      </b:Author>
    </b:Author>
    <b:Title>El estándar de la reparación integral en la jurisprudencia de la Corte Constitucional</b:Title>
    <b:URL>https://revistas.uasb.edu.ec/index.php/foro/article/view/695/644</b:URL>
    <b:Year>2018</b:Year>
    <b:JournalName>FORO Revista de Derecho</b:JournalName>
    <b:RefOrder>128</b:RefOrder>
  </b:Source>
  <b:Source>
    <b:Tag>Asa088</b:Tag>
    <b:SourceType>Book</b:SourceType>
    <b:Guid>{1A4F0621-6C7A-0242-848B-6C8E442E8DA7}</b:Guid>
    <b:Title>Constitución del Ecuador</b:Title>
    <b:Year>2008</b:Year>
    <b:Author>
      <b:Author>
        <b:Corporate>Asamblea Nacional Constituyente</b:Corporate>
      </b:Author>
    </b:Author>
    <b:RefOrder>129</b:RefOrder>
  </b:Source>
  <b:Source>
    <b:Tag>COR10</b:Tag>
    <b:SourceType>InternetSite</b:SourceType>
    <b:Guid>{37981067-86AE-4B4B-B7B0-3DFC84D13265}</b:Guid>
    <b:Author>
      <b:Author>
        <b:Corporate>CORTE INTERAMERICANA DE DERECHOS HUMANOS </b:Corporate>
      </b:Author>
    </b:Author>
    <b:Title>SENTENCIA DE 10 DE SEPTIEMBRE DE 1993 </b:Title>
    <b:Year>10</b:Year>
    <b:Month>septiembre</b:Month>
    <b:Day>1993</b:Day>
    <b:URL>https://www.corteidh.or.cr/docs/casos/fundamentos/jseriec15.pdf</b:URL>
    <b:RefOrder>130</b:RefOrder>
  </b:Source>
  <b:Source>
    <b:Tag>Rou11</b:Tag>
    <b:SourceType>InternetSite</b:SourceType>
    <b:Guid>{E648DCAC-15E8-1B47-94BD-73241E96B53C}</b:Guid>
    <b:Author>
      <b:Author>
        <b:NameList>
          <b:Person>
            <b:Last>Rousset</b:Last>
            <b:First>Andrés</b:First>
            <b:Middle>Javier</b:Middle>
          </b:Person>
        </b:NameList>
      </b:Author>
    </b:Author>
    <b:Title>El  concepto  de  reparación  integralen  la  jurisprudencia  de  laCorte  Interamericana  de  Derechos  Humanos</b:Title>
    <b:URL>https://revistaidh.org/ojs/index.php/ridh/article/view/6/4</b:URL>
    <b:Year>2011</b:Year>
    <b:Month>Septiembre</b:Month>
    <b:Day>15</b:Day>
    <b:RefOrder>131</b:RefOrder>
  </b:Source>
  <b:Source>
    <b:Tag>Cat12</b:Tag>
    <b:SourceType>InternetSite</b:SourceType>
    <b:Guid>{1A677D36-73CF-4EA5-821F-64D10D94EB9E}</b:Guid>
    <b:Title>ALGUNAS NOTAS SOBRE LA RESTITUIO IN INTEGRUM EN LA ÉPOCA DE JUSTICIANO</b:Title>
    <b:Year>2012</b:Year>
    <b:Author>
      <b:Author>
        <b:NameList>
          <b:Person>
            <b:Last>Cattan</b:Last>
            <b:First>Angela</b:First>
          </b:Person>
          <b:Person>
            <b:Last>Pulgar</b:Last>
            <b:First>Ximena</b:First>
          </b:Person>
        </b:NameList>
      </b:Author>
    </b:Author>
    <b:Month>Noviembre</b:Month>
    <b:Day>01</b:Day>
    <b:URL>https://repositorio.uchile.cl/bitstream/handle/2250/126804/Algunas-notas-sobre-la-Restitutio-in-Integrum-en-la-epoca-de-Justiniano.pdf?sequence=1&amp;isAllowed=y</b:URL>
    <b:RefOrder>132</b:RefOrder>
  </b:Source>
  <b:Source>
    <b:Tag>Arr19</b:Tag>
    <b:SourceType>InternetSite</b:SourceType>
    <b:Guid>{EE669AC9-4A7B-47C9-A3D2-8117927584C9}</b:Guid>
    <b:Author>
      <b:Author>
        <b:NameList>
          <b:Person>
            <b:Last>Arriaga Martinez</b:Last>
            <b:First>Jorge</b:First>
            <b:Middle>Sergio</b:Middle>
          </b:Person>
        </b:NameList>
      </b:Author>
    </b:Author>
    <b:Title>CLASIFICACIÓN DEL DAÑO, LA REPARACIÓN INTEGRAL Y SU ALCANCE EN</b:Title>
    <b:Year>2019</b:Year>
    <b:Month>enero</b:Month>
    <b:Day>01</b:Day>
    <b:URL>http://archivos.diputados.gob.mx/Transparencia/articulo70/XLI/cedip/B/CEDIP-70-XLI-B-clasidano-6-2018.pdf</b:URL>
    <b:RefOrder>133</b:RefOrder>
  </b:Source>
  <b:Source>
    <b:Tag>Loa15</b:Tag>
    <b:SourceType>InternetSite</b:SourceType>
    <b:Guid>{2F024D7B-A3CA-4D36-9A1E-D131BB9E6FDC}</b:Guid>
    <b:Author>
      <b:Author>
        <b:NameList>
          <b:Person>
            <b:Last>Loaiza Montero</b:Last>
            <b:First>Andrea</b:First>
            <b:Middle>Carolina</b:Middle>
          </b:Person>
        </b:NameList>
      </b:Author>
    </b:Author>
    <b:Title>“EL DERECHO DE DAÑOS: NORMATIVA ACTUALMENTE APLICABLE Y</b:Title>
    <b:InternetSiteTitle>Monografía previa a la obtención del Título de Abogada de los Tribunales de</b:InternetSiteTitle>
    <b:Year>2015</b:Year>
    <b:Month>abril</b:Month>
    <b:URL>https://dspace.ucuenca.edu.ec/bitstream/123456789/21597/1/Monograf%C3%ADa.pdf</b:URL>
    <b:RefOrder>134</b:RefOrder>
  </b:Source>
  <b:Source>
    <b:Tag>Consf</b:Tag>
    <b:SourceType>InternetSite</b:SourceType>
    <b:Guid>{8EC222D6-6A2A-488C-875C-2201ED1FCE1D}</b:Guid>
    <b:Author>
      <b:Author>
        <b:Corporate>Conceptosjurídicos.com</b:Corporate>
      </b:Author>
    </b:Author>
    <b:Title>Lucro cesante</b:Title>
    <b:Year>s. f</b:Year>
    <b:URL>https://www.conceptosjuridicos.com/co/lucro-cesante/</b:URL>
    <b:RefOrder>135</b:RefOrder>
  </b:Source>
  <b:Source>
    <b:Tag>GOV19</b:Tag>
    <b:SourceType>InternetSite</b:SourceType>
    <b:Guid>{9C44D9C7-C0F9-4714-B32F-E608D29A354A}</b:Guid>
    <b:Title>El futuro es de todos</b:Title>
    <b:Year>2019</b:Year>
    <b:Author>
      <b:Author>
        <b:Corporate>Unidad para la Atención y la Reparación Integral a las Víctimas</b:Corporate>
      </b:Author>
    </b:Author>
    <b:URL>https://www.unidadvictimas.gov.co/es/en-que-consisten-las-medidas-de-reparacion/44460</b:URL>
    <b:RefOrder>136</b:RefOrder>
  </b:Source>
  <b:Source>
    <b:Tag>Roj12</b:Tag>
    <b:SourceType>InternetSite</b:SourceType>
    <b:Guid>{5031F812-0433-BA47-8E77-6523396DB211}</b:Guid>
    <b:Author>
      <b:Author>
        <b:NameList>
          <b:Person>
            <b:Last>Rojas</b:Last>
            <b:First>Valeria</b:First>
          </b:Person>
        </b:NameList>
      </b:Author>
    </b:Author>
    <b:Title>La reparación integral Un estudio desde su aplicación en acciones de protección en el Ecuador </b:Title>
    <b:URL>https://repositorio.uasb.edu.ec/bitstream/10644/3261/1/T1211-MDE-Rojas-La%20reparacion.pdf</b:URL>
    <b:Year>2012</b:Year>
    <b:RefOrder>137</b:RefOrder>
  </b:Source>
  <b:Source>
    <b:Tag>Asa081</b:Tag>
    <b:SourceType>Book</b:SourceType>
    <b:Guid>{53482231-5FA2-4719-BE5D-4C51697A61CF}</b:Guid>
    <b:Author>
      <b:Author>
        <b:Corporate>Asamblea Constituyente</b:Corporate>
      </b:Author>
    </b:Author>
    <b:Title>Constitucion de la Republica del Ecuador </b:Title>
    <b:Year>2008</b:Year>
    <b:City>Quito</b:City>
    <b:Publisher>Corporacion de Estudios y Publicaciones</b:Publisher>
    <b:RefOrder>138</b:RefOrder>
  </b:Source>
  <b:Source>
    <b:Tag>Rob</b:Tag>
    <b:SourceType>Book</b:SourceType>
    <b:Guid>{926D7088-568E-4797-AC6E-1BE52D89DB8D}</b:Guid>
    <b:Author>
      <b:Author>
        <b:NameList>
          <b:Person>
            <b:Last>Gargaela</b:Last>
            <b:First>Roberto</b:First>
          </b:Person>
        </b:NameList>
      </b:Author>
    </b:Author>
    <b:Title>La Justicia frente al Gobierno</b:Title>
    <b:Year>2014</b:Year>
    <b:RefOrder>139</b:RefOrder>
  </b:Source>
  <b:Source>
    <b:Tag>Jua20</b:Tag>
    <b:SourceType>Book</b:SourceType>
    <b:Guid>{1A600D56-C5A0-4A94-AD1D-C85CAB9C1B6F}</b:Guid>
    <b:Author>
      <b:Author>
        <b:NameList>
          <b:Person>
            <b:Last>Guerrero del Pozo</b:Last>
            <b:First>Juan</b:First>
            <b:Middle>Francisco</b:Middle>
          </b:Person>
        </b:NameList>
      </b:Author>
    </b:Author>
    <b:Title>LAS GARANTIAS JIRISDICIONALES CONSTITUCIONALES EN RL ECUADOR</b:Title>
    <b:Year>2020</b:Year>
    <b:City>Quito-Ecuador </b:City>
    <b:Publisher>Corporacion de Estudios y Publicaciones</b:Publisher>
    <b:RefOrder>140</b:RefOrder>
  </b:Source>
  <b:Source>
    <b:Tag>Ger</b:Tag>
    <b:SourceType>Book</b:SourceType>
    <b:Guid>{927801AB-2D3F-4A42-A08B-74E5980998B1}</b:Guid>
    <b:Title>Un largo Termidor</b:Title>
    <b:Author>
      <b:Author>
        <b:NameList>
          <b:Person>
            <b:Last>Pissarello</b:Last>
            <b:First>Gerardo</b:First>
          </b:Person>
        </b:NameList>
      </b:Author>
    </b:Author>
    <b:City>quito</b:City>
    <b:RefOrder>141</b:RefOrder>
  </b:Source>
  <b:Source>
    <b:Tag>Asa10</b:Tag>
    <b:SourceType>Book</b:SourceType>
    <b:Guid>{22D73D58-2856-4815-8FC6-FA334D7F7618}</b:Guid>
    <b:Title>Ley Organica de Garantias Jurisdiccionales y Control Constitucional</b:Title>
    <b:Year>2010</b:Year>
    <b:City>Quito</b:City>
    <b:Publisher>Corporacion de Estudios y Publicaciones</b:Publisher>
    <b:Author>
      <b:Author>
        <b:Corporate>Asamblea Nacional</b:Corporate>
      </b:Author>
    </b:Author>
    <b:RefOrder>142</b:RefOrder>
  </b:Source>
  <b:Source>
    <b:Tag>Cor13</b:Tag>
    <b:SourceType>Book</b:SourceType>
    <b:Guid>{E65D76C1-03B8-428E-9617-C5D07A17F2F4}</b:Guid>
    <b:Author>
      <b:Author>
        <b:Corporate>Corte Constitucional del Ecuador</b:Corporate>
      </b:Author>
    </b:Author>
    <b:Title>Umbral; Revista de Derecho Constitucional, Garaníias Jurisdiccionales y Derechos Constitucionales</b:Title>
    <b:Year>2013</b:Year>
    <b:City>Quito</b:City>
    <b:Publisher>Centro de Estudios y Difusión del Derecho Constitucional</b:Publisher>
    <b:RefOrder>143</b:RefOrder>
  </b:Source>
  <b:Source>
    <b:Tag>Mar11</b:Tag>
    <b:SourceType>Book</b:SourceType>
    <b:Guid>{01FC39F0-D1F5-4DEB-B1D4-57E235CB3685}</b:Guid>
    <b:Author>
      <b:Author>
        <b:NameList>
          <b:Person>
            <b:Last>Dunia</b:Last>
            <b:First>Martinez</b:First>
            <b:Middle>Molina</b:Middle>
          </b:Person>
        </b:NameList>
      </b:Author>
    </b:Author>
    <b:Title>Genealogía de la Justicia Constitucional Ecuatoriana</b:Title>
    <b:Year>2011</b:Year>
    <b:City>Quito-Ecuador </b:City>
    <b:Publisher>Centro de Estudios y Difusión del Derecho Constitucional </b:Publisher>
    <b:RefOrder>144</b:RefOrder>
  </b:Source>
  <b:Source>
    <b:Tag>Val98</b:Tag>
    <b:SourceType>Book</b:SourceType>
    <b:Guid>{73060A1E-DDF9-49D6-95A9-76F65D53C03C}</b:Guid>
    <b:Author>
      <b:Author>
        <b:NameList>
          <b:Person>
            <b:Last>Valencia Vega</b:Last>
            <b:First>Alipio</b:First>
          </b:Person>
        </b:NameList>
      </b:Author>
    </b:Author>
    <b:Title>Desarrollo del Constitucionalismo </b:Title>
    <b:Year>1998</b:Year>
    <b:City>La Paz-Bolivia</b:City>
    <b:Publisher>Juventud</b:Publisher>
    <b:RefOrder>145</b:RefOrder>
  </b:Source>
  <b:Source>
    <b:Tag>Cev09</b:Tag>
    <b:SourceType>Book</b:SourceType>
    <b:Guid>{DCA242C5-8C8E-4221-B3AD-CA145057A1A2}</b:Guid>
    <b:Author>
      <b:Author>
        <b:NameList>
          <b:Person>
            <b:Last>Cevallos Zambrano</b:Last>
            <b:First>Iván</b:First>
            <b:Middle>Agustin</b:Middle>
          </b:Person>
        </b:NameList>
      </b:Author>
    </b:Author>
    <b:Title>La Accion de Protección Ordinaria Formalidad y Adminsibilidad en el Ecuador </b:Title>
    <b:Year>2009</b:Year>
    <b:City>Quito-Ecuador</b:City>
    <b:Publisher>Repositorio de la UASB</b:Publisher>
    <b:RefOrder>146</b:RefOrder>
  </b:Source>
  <b:Source>
    <b:Tag>Lan19</b:Tag>
    <b:SourceType>Book</b:SourceType>
    <b:Guid>{3CC42004-0847-4BDE-932C-2C38D9CA7FFF}</b:Guid>
    <b:Author>
      <b:Author>
        <b:NameList>
          <b:Person>
            <b:Last>Landazuri Salazar</b:Last>
            <b:First>Luis</b:First>
            <b:Middle>Fernado</b:Middle>
          </b:Person>
        </b:NameList>
      </b:Author>
    </b:Author>
    <b:Title>Procedibilidad de la accion de proteccion frente al acto administrativo en el Ecuador </b:Title>
    <b:Year>2019</b:Year>
    <b:Publisher>Repositorio Institucional de la UASAB, Creative, commons.</b:Publisher>
    <b:RefOrder>147</b:RefOrder>
  </b:Source>
  <b:Source>
    <b:Tag>Tra75</b:Tag>
    <b:SourceType>Book</b:SourceType>
    <b:Guid>{682FFBA4-2175-4065-AE9C-D96D1B971EB2}</b:Guid>
    <b:Author>
      <b:Author>
        <b:NameList>
          <b:Person>
            <b:Last>Trabucco</b:Last>
            <b:First>Federico</b:First>
          </b:Person>
        </b:NameList>
      </b:Author>
    </b:Author>
    <b:Title>Constituciones de la Republica del Ecuador </b:Title>
    <b:Year>1975</b:Year>
    <b:City>Quito, Ecuador</b:City>
    <b:Publisher>Editorial Universitaria</b:Publisher>
    <b:RefOrder>148</b:RefOrder>
  </b:Source>
  <b:Source>
    <b:Tag>LaA14</b:Tag>
    <b:SourceType>Book</b:SourceType>
    <b:Guid>{FD2C1904-4F15-435D-8A6A-B4960F08D285}</b:Guid>
    <b:Author>
      <b:Author>
        <b:NameList>
          <b:Person>
            <b:Last>Storini</b:Last>
            <b:First>Claudia</b:First>
          </b:Person>
          <b:Person>
            <b:Last>Alvear Navas</b:Last>
            <b:First>Marco</b:First>
          </b:Person>
        </b:NameList>
      </b:Author>
    </b:Author>
    <b:Title>La Accion de Proteccion en el Ecuador</b:Title>
    <b:Year>2014</b:Year>
    <b:City>Quito</b:City>
    <b:Publisher>Centro de Estudios y Difusion de Derecho Cosntitucional</b:Publisher>
    <b:RefOrder>149</b:RefOrder>
  </b:Source>
  <b:Source>
    <b:Tag>Pre16</b:Tag>
    <b:SourceType>Case</b:SourceType>
    <b:Guid>{75B1784F-D73B-4146-8755-B1B4E3AF8700}</b:Guid>
    <b:Title>Precedente Jurisprudencial Obligatorio</b:Title>
    <b:CaseNumber>001-16-JPO-CC</b:CaseNumber>
    <b:Court>Corte Constitucional del Ecuador </b:Court>
    <b:Year>2016</b:Year>
    <b:Month>Marzo</b:Month>
    <b:Day>22</b:Day>
    <b:RefOrder>150</b:RefOrder>
  </b:Source>
  <b:Source>
    <b:Tag>Oya161</b:Tag>
    <b:SourceType>Book</b:SourceType>
    <b:Guid>{8C4A5B37-C6F6-40E6-AA1A-F14CDEC0442D}</b:Guid>
    <b:Author>
      <b:Author>
        <b:NameList>
          <b:Person>
            <b:Last>Oyarte</b:Last>
            <b:First>Rafael</b:First>
          </b:Person>
        </b:NameList>
      </b:Author>
    </b:Author>
    <b:Title>Debido Proceso</b:Title>
    <b:Year>2016</b:Year>
    <b:City>Quito-Ecuador</b:City>
    <b:Publisher>Corporacion de Estudios y Publicaciones</b:Publisher>
    <b:RefOrder>151</b:RefOrder>
  </b:Source>
  <b:Source>
    <b:Tag>Sen15</b:Tag>
    <b:SourceType>Case</b:SourceType>
    <b:Guid>{2C1B921F-7B79-46F8-8EC0-A8E81F9A4DDA}</b:Guid>
    <b:Title>Sentencia de la Corte Constitucional</b:Title>
    <b:CaseNumber>18-15-SEP-CC</b:CaseNumber>
    <b:Court>Corte Constitucional del Ecuador</b:Court>
    <b:Year>2015</b:Year>
    <b:Month>Abril</b:Month>
    <b:Day>08</b:Day>
    <b:RefOrder>152</b:RefOrder>
  </b:Source>
  <b:Source>
    <b:Tag>Kon02</b:Tag>
    <b:SourceType>Book</b:SourceType>
    <b:Guid>{C3D9DC4C-F5AA-470B-BD8E-42F940198321}</b:Guid>
    <b:Title>Anuario de Derecho Constitucional Latinoamericano</b:Title>
    <b:Year>2002</b:Year>
    <b:Author>
      <b:Author>
        <b:Corporate>Konrad-Adenauer-Stiftung</b:Corporate>
      </b:Author>
    </b:Author>
    <b:City>Montevideo-Uruguay</b:City>
    <b:Publisher>Mastergraf</b:Publisher>
    <b:RefOrder>153</b:RefOrder>
  </b:Source>
  <b:Source>
    <b:Tag>Asa21</b:Tag>
    <b:SourceType>Book</b:SourceType>
    <b:Guid>{D1B62895-0CB7-48B1-A706-FDAFACE8DCB1}</b:Guid>
    <b:Author>
      <b:Author>
        <b:Corporate>Asamblea Nacional </b:Corporate>
      </b:Author>
    </b:Author>
    <b:Title>Codigo Organico de la Función Judicial</b:Title>
    <b:Year>2021</b:Year>
    <b:City>Quito-Ecuador</b:City>
    <b:Publisher>Corporacion de Estudios y Publicaciones</b:Publisher>
    <b:RefOrder>154</b:RefOrder>
  </b:Source>
  <b:Source>
    <b:Tag>Cat18</b:Tag>
    <b:SourceType>JournalArticle</b:SourceType>
    <b:Guid>{D282A037-A8A9-4E9E-AE10-07A6743A9435}</b:Guid>
    <b:Title>Alcance del principio iura novit curia en la responsabilidad del Estado Colombiano</b:Title>
    <b:Year>2018</b:Year>
    <b:Author>
      <b:Author>
        <b:NameList>
          <b:Person>
            <b:Last>Castro Nuñez</b:Last>
            <b:First>Juán</b:First>
            <b:Middle>José</b:Middle>
          </b:Person>
        </b:NameList>
      </b:Author>
    </b:Author>
    <b:JournalName>Universidad Santo Tomas</b:JournalName>
    <b:Pages>169-178</b:Pages>
    <b:RefOrder>155</b:RefOrder>
  </b:Source>
  <b:Source>
    <b:Tag>Nie14</b:Tag>
    <b:SourceType>JournalArticle</b:SourceType>
    <b:Guid>{8D2AD0CC-B100-46A6-8935-FA39B6397404}</b:Guid>
    <b:Author>
      <b:Author>
        <b:NameList>
          <b:Person>
            <b:Last>Nieto Navia</b:Last>
            <b:First>Rafael</b:First>
          </b:Person>
        </b:NameList>
      </b:Author>
    </b:Author>
    <b:Title>La Aplicacion del Principio Iura Novit Curia por los organos del sistema Interamericano de Derechos Humanos </b:Title>
    <b:JournalName>Estudios de Derecho Internacional, en homenaje a la Dra. Zlata Drnas de Clément</b:JournalName>
    <b:Year>2014</b:Year>
    <b:Pages>618-639</b:Pages>
    <b:RefOrder>156</b:RefOrder>
  </b:Source>
  <b:Source>
    <b:Tag>Sen17</b:Tag>
    <b:SourceType>Case</b:SourceType>
    <b:Guid>{B07BBF26-C375-42C0-BA9D-FF690E30D79C}</b:Guid>
    <b:Title>Sentencia N: 133-17-SEP-CC</b:Title>
    <b:Year>2017</b:Year>
    <b:CaseNumber>N: 0288-12-EP</b:CaseNumber>
    <b:Court>Corte Constitucional del Ecuador</b:Court>
    <b:Month>Mayo</b:Month>
    <b:Day>10</b:Day>
    <b:RefOrder>157</b:RefOrder>
  </b:Source>
  <b:Source>
    <b:Tag>N2815</b:Tag>
    <b:SourceType>Case</b:SourceType>
    <b:Guid>{F7FAA10F-9A68-4293-9BA7-0E7A087A49A2}</b:Guid>
    <b:Title> N: 284-15-SEP-CC</b:Title>
    <b:CaseNumber>N: 2078-14-EP</b:CaseNumber>
    <b:Court>Corte Constitucional del Ecuador </b:Court>
    <b:Year>2015</b:Year>
    <b:Month>Septiembre</b:Month>
    <b:Day>02</b:Day>
    <b:RefOrder>158</b:RefOrder>
  </b:Source>
  <b:Source>
    <b:Tag>Fer16</b:Tag>
    <b:SourceType>Book</b:SourceType>
    <b:Guid>{D18587FC-57AF-4BA9-9399-8718E19BFBEE}</b:Guid>
    <b:Author>
      <b:Author>
        <b:NameList>
          <b:Person>
            <b:Last>Ferrajoli</b:Last>
            <b:First>Luigi</b:First>
          </b:Person>
        </b:NameList>
      </b:Author>
    </b:Author>
    <b:Title>Los Derechos y sus Garantias, Conversación con Mauro Barberis</b:Title>
    <b:Year>2016</b:Year>
    <b:City>Bologna-Italia</b:City>
    <b:Publisher>Trotta S.A.</b:Publisher>
    <b:RefOrder>159</b:RefOrder>
  </b:Source>
  <b:Source>
    <b:Tag>Mon12</b:Tag>
    <b:SourceType>Book</b:SourceType>
    <b:Guid>{70B0C03A-67E5-40E0-BAC5-9A092A83D203}</b:Guid>
    <b:Author>
      <b:Author>
        <b:NameList>
          <b:Person>
            <b:Last>Montaña Pinto</b:Last>
            <b:First>Juan</b:First>
          </b:Person>
        </b:NameList>
      </b:Author>
    </b:Author>
    <b:Title>Apuntes de Derecho Procesal Constitucional, Cuadernos de Trabajo, Tomo I</b:Title>
    <b:Year>2012</b:Year>
    <b:City>Quito-Ecuador</b:City>
    <b:Publisher>Centro de Estudios y Difusión del Derecho Constitucional</b:Publisher>
    <b:RefOrder>160</b:RefOrder>
  </b:Source>
  <b:Source>
    <b:Tag>Cor15</b:Tag>
    <b:SourceType>Book</b:SourceType>
    <b:Guid>{9F665737-D623-4E87-BA74-F3DF417A4E65}</b:Guid>
    <b:Author>
      <b:Author>
        <b:NameList>
          <b:Person>
            <b:Last>Cordero Heredia</b:Last>
            <b:First>David</b:First>
          </b:Person>
          <b:Person>
            <b:Last>Yépez Pulles</b:Last>
            <b:First>Nathaly</b:First>
          </b:Person>
        </b:NameList>
      </b:Author>
    </b:Author>
    <b:Title>Manual (crítico) de Garantias Jurisdiccionale Constitucionales</b:Title>
    <b:Year>2015</b:Year>
    <b:City>Quito-Ecuador</b:City>
    <b:Publisher>Comunicaciones INREDH</b:Publisher>
    <b:RefOrder>161</b:RefOrder>
  </b:Source>
  <b:Source>
    <b:Tag>Zav12</b:Tag>
    <b:SourceType>Book</b:SourceType>
    <b:Guid>{9B442F84-62F1-47A3-B559-77F207A7D349}</b:Guid>
    <b:Author>
      <b:Author>
        <b:NameList>
          <b:Person>
            <b:Last>Zavala Egas</b:Last>
            <b:First>Jorge</b:First>
          </b:Person>
          <b:Person>
            <b:Last>Zavala Luque</b:Last>
            <b:First>Jorge</b:First>
          </b:Person>
          <b:Person>
            <b:Last>Acosta Zavala</b:Last>
            <b:First>Jose</b:First>
            <b:Middle>F.</b:Middle>
          </b:Person>
        </b:NameList>
      </b:Author>
    </b:Author>
    <b:Title>Comentarios a la Ley Orgánica de Garantías Jurisdicionales y Control Constitucional</b:Title>
    <b:Year>2012</b:Year>
    <b:City>Guayaquil-Ecuador</b:City>
    <b:Publisher>EDILEX S.A.</b:Publisher>
    <b:RefOrder>162</b:RefOrder>
  </b:Source>
  <b:Source>
    <b:Tag>Tar09</b:Tag>
    <b:SourceType>Book</b:SourceType>
    <b:Guid>{0EEE7461-671C-49BB-B4C4-380BC66BE793}</b:Guid>
    <b:Author>
      <b:Author>
        <b:NameList>
          <b:Person>
            <b:Last>Tarruffo</b:Last>
            <b:First>Michelle</b:First>
          </b:Person>
          <b:Person>
            <b:Last>Gonzalez Pérez</b:Last>
            <b:First>Jesus</b:First>
            <b:Middle>&amp; otros</b:Middle>
          </b:Person>
        </b:NameList>
      </b:Author>
    </b:Author>
    <b:Title>Constitucion y Proceso</b:Title>
    <b:Year>2009</b:Year>
    <b:City>Lima-Perú</b:City>
    <b:Publisher>ARA EDIOTRES</b:Publisher>
    <b:RefOrder>163</b:RefOrder>
  </b:Source>
  <b:Source>
    <b:Tag>Avi08</b:Tag>
    <b:SourceType>Book</b:SourceType>
    <b:Guid>{F0967E77-0D19-4F7D-A0E4-2150D6E93057}</b:Guid>
    <b:Author>
      <b:Author>
        <b:NameList>
          <b:Person>
            <b:Last>Avila Santamaria</b:Last>
            <b:First>Ramiro</b:First>
          </b:Person>
        </b:NameList>
      </b:Author>
    </b:Author>
    <b:Title>"Las garantías: herramientas imprescrpibles para el cumplimiento de los derechos. Avances conceptuales en la Constitución del 2008", en Ramiro Avila Santamaria, Agustin Grijalva Jimenez, y Ruben Martinez Dalmau, Desafios constitucionales.</b:Title>
    <b:Year>2008</b:Year>
    <b:City>Quito-Ecuador</b:City>
    <b:Publisher>Ministerio de Justicia y Derechos Humanos</b:Publisher>
    <b:RefOrder>164</b:RefOrder>
  </b:Source>
  <b:Source>
    <b:Tag>Rev20</b:Tag>
    <b:SourceType>Case</b:SourceType>
    <b:Guid>{7AE799F3-9546-4360-9A74-18A16DBF8D2C}</b:Guid>
    <b:Title>Revisión de Garantias, Derechos de las Mujeres Embarazadas y en periodo de lactancia.</b:Title>
    <b:Year>2020</b:Year>
    <b:CaseNumber>3-19-JP/20 y acumulados</b:CaseNumber>
    <b:Court>Corte Constitucional del Ecuador </b:Court>
    <b:Month>Agosto</b:Month>
    <b:Day>05</b:Day>
    <b:RefOrder>165</b:RefOrder>
  </b:Source>
  <b:Source>
    <b:Tag>Igu09</b:Tag>
    <b:SourceType>Book</b:SourceType>
    <b:Guid>{EE272800-37F1-4B7E-9B92-1BBD8652D67B}</b:Guid>
    <b:Title>La Motivacion en las sentencias, imperativo constitucional.</b:Title>
    <b:Year>2009</b:Year>
    <b:Author>
      <b:Author>
        <b:NameList>
          <b:Person>
            <b:Last>Iguartua Salaverría</b:Last>
            <b:First>Juan</b:First>
          </b:Person>
        </b:NameList>
      </b:Author>
    </b:Author>
    <b:City>Madrid-España</b:City>
    <b:Publisher>Centro de Estutdios Politicos y Constitucionales</b:Publisher>
    <b:RefOrder>166</b:RefOrder>
  </b:Source>
  <b:Source>
    <b:Tag>Rel16</b:Tag>
    <b:SourceType>Case</b:SourceType>
    <b:Guid>{D10F0720-D3B1-46D4-8745-1FB33FECB053}</b:Guid>
    <b:Title>Relevacia Constitucional </b:Title>
    <b:Year>2016</b:Year>
    <b:CaseNumber>001-16-PJO-CC</b:CaseNumber>
    <b:Court>Corte Constitucional</b:Court>
    <b:Month>Marzo</b:Month>
    <b:Day>22</b:Day>
    <b:RefOrder>167</b:RefOrder>
  </b:Source>
  <b:Source>
    <b:Tag>Acc19</b:Tag>
    <b:SourceType>Case</b:SourceType>
    <b:Guid>{8570A1D2-8C76-4C2C-93D6-16FA35C5B516}</b:Guid>
    <b:Title>Accion Extraordinaria de Protección</b:Title>
    <b:CaseNumber>307-10-EP/19</b:CaseNumber>
    <b:Court>Corte Constitucional del Ecuador </b:Court>
    <b:Year>2019</b:Year>
    <b:Month>Julio</b:Month>
    <b:Day>09</b:Day>
    <b:RefOrder>168</b:RefOrder>
  </b:Source>
  <b:Source>
    <b:Tag>Acc191</b:Tag>
    <b:SourceType>Case</b:SourceType>
    <b:Guid>{0ECF5CC0-8F55-452A-B6BE-FE27C40FB83D}</b:Guid>
    <b:Title>Accion Extraordinaria de Proteccion</b:Title>
    <b:CaseNumber>283-14-EP/19</b:CaseNumber>
    <b:Court>Corte Constitucional del Ecuador </b:Court>
    <b:Year>2019</b:Year>
    <b:Month>Diciembre</b:Month>
    <b:Day>04</b:Day>
    <b:RefOrder>169</b:RefOrder>
  </b:Source>
  <b:Source>
    <b:Tag>Sam14</b:Tag>
    <b:SourceType>Book</b:SourceType>
    <b:Guid>{97F0EAAF-8ECD-4C12-A987-1C09FE5DAF99}</b:Guid>
    <b:Title>Metodologia de la Investigacion, Sexta Edición</b:Title>
    <b:Year>2014</b:Year>
    <b:Author>
      <b:Author>
        <b:NameList>
          <b:Person>
            <b:Last>Sampieri Hernandez</b:Last>
            <b:First>Roberto</b:First>
          </b:Person>
        </b:NameList>
      </b:Author>
    </b:Author>
    <b:City>Santa Fe</b:City>
    <b:Publisher>Interamericana Editores S.A.</b:Publisher>
    <b:RefOrder>170</b:RefOrder>
  </b:Source>
  <b:Source>
    <b:Tag>Álv12</b:Tag>
    <b:SourceType>Book</b:SourceType>
    <b:Guid>{4E26CC49-DB74-436E-83D2-32056F391E96}</b:Guid>
    <b:Author>
      <b:Author>
        <b:NameList>
          <b:Person>
            <b:Last>Álvarez Undurraga</b:Last>
            <b:First>Gabriel</b:First>
          </b:Person>
        </b:NameList>
      </b:Author>
    </b:Author>
    <b:Title>Metodologia de la Investigacion Juridica: Hacia una nueva perspectiva</b:Title>
    <b:Year>2012</b:Year>
    <b:City>Santiago de Chile</b:City>
    <b:Publisher>Direccion de Investigacion, Direccion y Publicaciones; Comisión de Publicaciones </b:Publisher>
    <b:RefOrder>171</b:RefOrder>
  </b:Source>
  <b:Source>
    <b:Tag>MarcadorDePosición3</b:Tag>
    <b:SourceType>Book</b:SourceType>
    <b:Guid>{D7E6F464-293A-4AE0-A233-2747F6B860AF}</b:Guid>
    <b:Title>La pregunta por el método: derecho y metodología de la investigación</b:Title>
    <b:Year>2018</b:Year>
    <b:Author>
      <b:Author>
        <b:NameList>
          <b:Person>
            <b:Last>Aguledo Giraldo</b:Last>
            <b:First>Óscar</b:First>
            <b:Middle>Alexis</b:Middle>
          </b:Person>
        </b:NameList>
      </b:Author>
    </b:Author>
    <b:City>Bogota-Colombia</b:City>
    <b:Publisher>Universidad Catolica de Colombia</b:Publisher>
    <b:RefOrder>172</b:RefOrder>
  </b:Source>
  <b:Source>
    <b:Tag>Bae17</b:Tag>
    <b:SourceType>Book</b:SourceType>
    <b:Guid>{D64E2A39-E66C-4789-B0C2-142B76851B1A}</b:Guid>
    <b:Author>
      <b:Author>
        <b:NameList>
          <b:Person>
            <b:Last>Baena Paz</b:Last>
            <b:First>Guillermina</b:First>
          </b:Person>
        </b:NameList>
      </b:Author>
    </b:Author>
    <b:Title>Metodologia de la Investigacion</b:Title>
    <b:Year>2017</b:Year>
    <b:City>Mexico</b:City>
    <b:Publisher>Grupo, Editorial, Patria</b:Publisher>
    <b:RefOrder>173</b:RefOrder>
  </b:Source>
  <b:Source>
    <b:Tag>Rio15</b:Tag>
    <b:SourceType>JournalArticle</b:SourceType>
    <b:Guid>{696FE347-E342-4EBD-91F7-88831FA31E32}</b:Guid>
    <b:Title>La seleccion del metodo en la investigacion juridica. 100 metodos posibles.</b:Title>
    <b:Year>2015</b:Year>
    <b:Author>
      <b:Author>
        <b:NameList>
          <b:Person>
            <b:Last>Riofrio Martinez</b:Last>
            <b:First>Juan</b:First>
            <b:Middle>Carlos</b:Middle>
          </b:Person>
        </b:NameList>
      </b:Author>
    </b:Author>
    <b:JournalName>Revista de Educacion y Derecho</b:JournalName>
    <b:Pages>1-27</b:Pages>
    <b:RefOrder>174</b:RefOrder>
  </b:Source>
  <b:Source>
    <b:Tag>Uni211</b:Tag>
    <b:SourceType>InternetSite</b:SourceType>
    <b:Guid>{23F994A5-E527-44D0-9D26-05D8AD102773}</b:Guid>
    <b:Title>Universidad de Guayaquil</b:Title>
    <b:Year>2021</b:Year>
    <b:Month>11</b:Month>
    <b:URL>https://www.ug.edu.ec/nosotros/</b:URL>
    <b:Author>
      <b:Author>
        <b:Corporate>Universidad de Guayaquil</b:Corporate>
      </b:Author>
    </b:Author>
    <b:RefOrder>175</b:RefOrder>
  </b:Source>
  <b:Source>
    <b:Tag>Uni161</b:Tag>
    <b:SourceType>DocumentFromInternetSite</b:SourceType>
    <b:Guid>{11B77BA6-3782-4287-B1C9-21C468978331}</b:Guid>
    <b:Title>Universidad de Guayaquil </b:Title>
    <b:Year>2016</b:Year>
    <b:Author>
      <b:Author>
        <b:Corporate>Universidad de Guayaquil </b:Corporate>
      </b:Author>
    </b:Author>
    <b:InternetSiteTitle>ESTRUCTURA ORGÁNICA DE LA UNIVERSIDAD DE GUAYAQUIL</b:InternetSiteTitle>
    <b:URL>https://www.ug.edu.ec/entradas/Documentos_Planificacion/Organigrama.pdf</b:URL>
    <b:RefOrder>176</b:RefOrder>
  </b:Source>
  <b:Source>
    <b:Tag>Uni16</b:Tag>
    <b:SourceType>DocumentFromInternetSite</b:SourceType>
    <b:Guid>{C1B54A8D-A584-4DED-9438-FE13CBB93CD1}</b:Guid>
    <b:Year>2016</b:Year>
    <b:Author>
      <b:Author>
        <b:Corporate>Universidad de Guayaquil</b:Corporate>
      </b:Author>
    </b:Author>
    <b:Month>Mayo</b:Month>
    <b:URL>http://www.ug.edu.ec/entradas/Documentos_Planificacion/PPE_2016-2030.pdf</b:URL>
    <b:RefOrder>177</b:RefOrder>
  </b:Source>
  <b:Source>
    <b:Tag>DeL20</b:Tag>
    <b:SourceType>JournalArticle</b:SourceType>
    <b:Guid>{2A95600A-04D2-4653-931D-D8697C445F01}</b:Guid>
    <b:Title>Educar en tiempos de pandemia</b:Title>
    <b:Year>2020</b:Year>
    <b:URL>http://riull.ull.es/xmlui/handle/915/21379</b:URL>
    <b:JournalName>Universidad de la Laguna</b:JournalName>
    <b:Pages>6</b:Pages>
    <b:Author>
      <b:Author>
        <b:NameList>
          <b:Person>
            <b:Last>De La Rosa Valido</b:Last>
            <b:First>Carlos </b:First>
          </b:Person>
          <b:Person>
            <b:Last>Díaz González </b:Last>
            <b:First>Eisa </b:First>
          </b:Person>
        </b:NameList>
      </b:Author>
    </b:Author>
    <b:RefOrder>178</b:RefOrder>
  </b:Source>
  <b:Source>
    <b:Tag>Int20</b:Tag>
    <b:SourceType>InternetSite</b:SourceType>
    <b:Guid>{31BAB336-D2BC-4DBA-9B4E-AA8CC10817AF}</b:Guid>
    <b:Author>
      <b:Author>
        <b:Corporate>Intituto Internacional para la Educacion Superior en América Latina y el Caribe</b:Corporate>
      </b:Author>
    </b:Author>
    <b:Title>UNESCO</b:Title>
    <b:Year>2020</b:Year>
    <b:Month>04</b:Month>
    <b:Day>02</b:Day>
    <b:URL> https://www.iesalc.unesco.org/2020/04/02/el-coronavirus-covid-19-y-la-educacion-superior-impacto-y-recomendaciones/</b:URL>
    <b:RefOrder>179</b:RefOrder>
  </b:Source>
  <b:Source>
    <b:Tag>Mac21</b:Tag>
    <b:SourceType>JournalArticle</b:SourceType>
    <b:Guid>{5F9DC430-D86E-4C93-B086-58D9A1C95D5A}</b:Guid>
    <b:Title>EFECTOS DEL COVID-19 EN LA EDUCACIÓN SUPERIOR Y LA SUBSECUENTE APLICACIÓN DE AMBIENTES DE APRENDIZAJE VIRTUAL</b:Title>
    <b:JournalName>Revista Científica SAPIENTIAE</b:JournalName>
    <b:Year>2021</b:Year>
    <b:Pages>65</b:Pages>
    <b:Author>
      <b:Author>
        <b:NameList>
          <b:Person>
            <b:Last> Macías Rodríguez</b:Last>
            <b:Middle> Elisa</b:Middle>
            <b:First>Leonela</b:First>
          </b:Person>
          <b:Person>
            <b:Last>Loor Chancay</b:Last>
            <b:Middle> Germania </b:Middle>
            <b:First>Jeoconda</b:First>
          </b:Person>
        </b:NameList>
      </b:Author>
    </b:Author>
    <b:RefOrder>180</b:RefOrder>
  </b:Source>
  <b:Source>
    <b:Tag>GUÍ20</b:Tag>
    <b:SourceType>JournalArticle</b:SourceType>
    <b:Guid>{AF76DC55-6DED-4EF7-A760-CBD14ADDF7F1}</b:Guid>
    <b:Title>Guía Metodológica Académica Modalidad En Línea – U.G.</b:Title>
    <b:JournalName>UNIVERSIDAD DE GUAYAQUIL</b:JournalName>
    <b:Year>2020</b:Year>
    <b:Pages>6</b:Pages>
    <b:RefOrder>181</b:RefOrder>
  </b:Source>
  <b:Source>
    <b:Tag>Com20</b:Tag>
    <b:SourceType>Book</b:SourceType>
    <b:Guid>{9110E501-ACBD-49F9-B6D2-EF02F685AF01}</b:Guid>
    <b:Author>
      <b:Author>
        <b:Corporate>Comisión Económica para America Latina y el caribe</b:Corporate>
      </b:Author>
    </b:Author>
    <b:Title>La educación en tiempos de la pandemia de COVID-19</b:Title>
    <b:Year>2020</b:Year>
    <b:Publisher>CEPAL, UNESCO</b:Publisher>
    <b:RefOrder>182</b:RefOrder>
  </b:Source>
  <b:Source>
    <b:Tag>Día20</b:Tag>
    <b:SourceType>JournalArticle</b:SourceType>
    <b:Guid>{D21CA8D9-B279-451C-A971-6A91B6490499}</b:Guid>
    <b:Title>Percepción del aprendizaje en el contexto de las clases en línea de la Universidad de Guayaquil frente a la COVID-19</b:Title>
    <b:JournalName>Revista Sinapsis</b:JournalName>
    <b:Year>2020 </b:Year>
    <b:Author>
      <b:Author>
        <b:NameList>
          <b:Person>
            <b:Last> Díaz Vera</b:Last>
            <b:First>Janeth Pilar</b:First>
          </b:Person>
          <b:Person>
            <b:Last>Peña Hojas</b:Last>
            <b:First>Delia </b:First>
          </b:Person>
          <b:Person>
            <b:Last>Ruiz Ramirez</b:Last>
            <b:First>Alicia Karina </b:First>
          </b:Person>
          <b:Person>
            <b:Last>Macías Mora</b:Last>
            <b:First>Diana </b:First>
          </b:Person>
        </b:NameList>
      </b:Author>
    </b:Author>
    <b:RefOrder>183</b:RefOrder>
  </b:Source>
  <b:Source>
    <b:Tag>Pen18</b:Tag>
    <b:SourceType>JournalArticle</b:SourceType>
    <b:Guid>{D672C31E-59C7-4181-99FE-8E72EED291F0}</b:Guid>
    <b:Title>Desempeño académico y experiencias de estudiantes universitarios mayas en Yucatán, México</b:Title>
    <b:JournalName>ALTERIDAD. Revista de Educación</b:JournalName>
    <b:Year>2018</b:Year>
    <b:Author>
      <b:Author>
        <b:NameList>
          <b:Person>
            <b:Last>Peniche Cetzal</b:Last>
            <b:First>Rubi Surema </b:First>
          </b:Person>
          <b:Person>
            <b:Last>Ramón Mac</b:Last>
            <b:First>Cristóbal Crescencio </b:First>
          </b:Person>
        </b:NameList>
      </b:Author>
    </b:Author>
    <b:RefOrder>184</b:RefOrder>
  </b:Source>
  <b:Source>
    <b:Tag>Qui13</b:Tag>
    <b:SourceType>JournalArticle</b:SourceType>
    <b:Guid>{AB4CC799-4933-4642-94BF-72908B453410}</b:Guid>
    <b:Title>El desempeño académico: una opción para la cualificación de las instituciones educativas</b:Title>
    <b:Year>2013</b:Year>
    <b:JournalName>Plumilla Educativa</b:JournalName>
    <b:Pages>93-115</b:Pages>
    <b:Author>
      <b:Author>
        <b:NameList>
          <b:Person>
            <b:Last>Quintero Quintero</b:Last>
            <b:Middle> Teresa </b:Middle>
            <b:First>María</b:First>
          </b:Person>
          <b:Person>
            <b:Last>Orozco Vallejo</b:Last>
            <b:First>German Manuel </b:First>
          </b:Person>
        </b:NameList>
      </b:Author>
    </b:Author>
    <b:RefOrder>185</b:RefOrder>
  </b:Source>
  <b:Source>
    <b:Tag>Guz14</b:Tag>
    <b:SourceType>JournalArticle</b:SourceType>
    <b:Guid>{5D53252D-D820-4FB9-A4FF-D102259F9CE4}</b:Guid>
    <b:Title>Comunicación familiar y desempeño académico en estudiantes universitarios</b:Title>
    <b:JournalName>Zona Próxima, núm. 20</b:JournalName>
    <b:Year>2014</b:Year>
    <b:Pages>79-91</b:Pages>
    <b:Author>
      <b:Author>
        <b:NameList>
          <b:Person>
            <b:Last>Guzmán Arteaga</b:Last>
            <b:First>Ramiro</b:First>
          </b:Person>
          <b:Person>
            <b:Last>Pacheco Lora</b:Last>
            <b:Middle>Cecilia</b:Middle>
            <b:First>Martha </b:First>
          </b:Person>
        </b:NameList>
      </b:Author>
    </b:Author>
    <b:RefOrder>186</b:RefOrder>
  </b:Source>
  <b:Source>
    <b:Tag>Bui12</b:Tag>
    <b:SourceType>JournalArticle</b:SourceType>
    <b:Guid>{D874F8A9-B181-448D-A630-6212F15594E4}</b:Guid>
    <b:Title>Los foros de discusión y sus beneficios en la docencia virtual: recomendaciones para un uso eficiente</b:Title>
    <b:Year>2012</b:Year>
    <b:JournalName>NNOVAR. Revista de Ciencias Administrativas y Sociales, vol. 22, núm. 43,</b:JournalName>
    <b:Pages>131-143</b:Pages>
    <b:Author>
      <b:Author>
        <b:NameList>
          <b:Person>
            <b:Last>Buil</b:Last>
            <b:First>Isabe</b:First>
          </b:Person>
          <b:Person>
            <b:Last>Hernández</b:Last>
            <b:First>Blanca</b:First>
          </b:Person>
          <b:Person>
            <b:Last>Sesé F</b:Last>
            <b:First> Javier</b:First>
          </b:Person>
          <b:Person>
            <b:Last>Urquizu </b:Last>
            <b:First>Pilar</b:First>
          </b:Person>
        </b:NameList>
      </b:Author>
    </b:Author>
    <b:RefOrder>187</b:RefOrder>
  </b:Source>
  <b:Source>
    <b:Tag>Fue20</b:Tag>
    <b:SourceType>JournalArticle</b:SourceType>
    <b:Guid>{3601FE77-DA5A-4077-B260-1E6498BFB234}</b:Guid>
    <b:Title>LAS TAREAS DOCENTES EN LA ENSEÑANZA UNIVERSITARIA: UNA VÍA PARA ALCANZAR EL APRENDIZAJE SIGNIFICATIVO</b:Title>
    <b:JournalName>Revista Electrónica Formación y Calidad Educativa (REFCalE)</b:JournalName>
    <b:Year>2020</b:Year>
    <b:Author>
      <b:Author>
        <b:NameList>
          <b:Person>
            <b:Last>Fuentes Aparicio </b:Last>
            <b:First>Arian </b:First>
          </b:Person>
          <b:Person>
            <b:Last>Puerto Menéndez</b:Last>
            <b:First>Osley </b:First>
          </b:Person>
          <b:Person>
            <b:Last>Suárez Abrahante</b:Last>
            <b:First>Roilys Jorje </b:First>
          </b:Person>
          <b:Person>
            <b:Last>Rodríguez Sánchez</b:Last>
            <b:First>Johnny Gustavo</b:First>
          </b:Person>
        </b:NameList>
      </b:Author>
    </b:Author>
    <b:RefOrder>188</b:RefOrder>
  </b:Source>
  <b:Source>
    <b:Tag>Cas16</b:Tag>
    <b:SourceType>JournalArticle</b:SourceType>
    <b:Guid>{44B12515-BBC9-4D33-954F-64E13C578251}</b:Guid>
    <b:Title>El uso del foro virtual para desarrollar el aprendizaje autorregulado de los estudiantes universitarios</b:Title>
    <b:JournalName>Innovación Educativa, vol. 16, núm. 70</b:JournalName>
    <b:Year>2016</b:Year>
    <b:Pages>23-41</b:Pages>
    <b:Author>
      <b:Author>
        <b:NameList>
          <b:Person>
            <b:Last>Castro Méndez</b:Last>
            <b:First>Nelson </b:First>
          </b:Person>
          <b:Person>
            <b:Last>Suárez Cretton</b:Last>
            <b:First>Ximena </b:First>
          </b:Person>
          <b:Person>
            <b:Last>Soto Espinoza</b:Last>
            <b:First>Víctor </b:First>
          </b:Person>
        </b:NameList>
      </b:Author>
    </b:Author>
    <b:RefOrder>189</b:RefOrder>
  </b:Source>
  <b:Source>
    <b:Tag>Poz18</b:Tag>
    <b:SourceType>JournalArticle</b:SourceType>
    <b:Guid>{198119A7-3946-44AA-96F3-8749B209F104}</b:Guid>
    <b:Title>Uso de cuestionarios en investigaciones sobre universidad: análisis de experiencias desde una perspectiva situada</b:Title>
    <b:JournalName>Revista Latinoamericana de Metodología de las Ciencias Sociales</b:JournalName>
    <b:Year> 2018</b:Year>
    <b:Author>
      <b:Author>
        <b:NameList>
          <b:Person>
            <b:Last>Pozzo</b:Last>
            <b:First>María Isabel </b:First>
          </b:Person>
          <b:Person>
            <b:Last>Borgobello</b:Last>
            <b:First>Ana </b:First>
          </b:Person>
          <b:Person>
            <b:Last>Pierella</b:Last>
            <b:First>María Paula </b:First>
          </b:Person>
        </b:NameList>
      </b:Author>
    </b:Author>
    <b:RefOrder>190</b:RefOrder>
  </b:Source>
  <b:Source>
    <b:Tag>Fer19</b:Tag>
    <b:SourceType>JournalArticle</b:SourceType>
    <b:Guid>{06C4104B-61C2-4217-9876-2DC5765D48EE}</b:Guid>
    <b:Title>Cuadernillo técnico de evaluación educativa Desarrollo de instrumentos de evaluación: tareas de desempeño y rúbricas</b:Title>
    <b:JournalName>Instituto Nacional para la Evaluación de la Educación INEE</b:JournalName>
    <b:Year>2019</b:Year>
    <b:City>México</b:City>
    <b:Author>
      <b:Author>
        <b:NameList>
          <b:Person>
            <b:Last>Fernández Vázquez</b:Last>
            <b:First>Paloma </b:First>
          </b:Person>
          <b:Person>
            <b:Last>Haquin Bravo</b:Last>
            <b:First>Ángela </b:First>
          </b:Person>
        </b:NameList>
      </b:Author>
    </b:Author>
    <b:RefOrder>191</b:RefOrder>
  </b:Source>
  <b:Source>
    <b:Tag>CAR17</b:Tag>
    <b:SourceType>BookSection</b:SourceType>
    <b:Guid>{1DF862DC-21B6-480A-BD0B-00D3DB19ACD8}</b:Guid>
    <b:Title>“ANÁLISIS DEL COMPORTAMIENTO DEL MOTOR MITSUBISHI 4D31T CON EL USO DE BIODIÉSEL A BASE DE ALGAS, EMPLEANDO MEZCLA B5”</b:Title>
    <b:BookTitle>“ANÁLISIS DEL COMPORTAMIENTO DEL MOTOR MITSUBISHI 4D31T CON EL USO DE BIODIÉSEL A BASE DE ALGAS, EMPLEANDO MEZCLA B5”</b:BookTitle>
    <b:Year>2017</b:Year>
    <b:Pages>43</b:Pages>
    <b:City>Ibarra</b:City>
    <b:Author>
      <b:Author>
        <b:NameList>
          <b:Person>
            <b:Last>CARLOSMAFLA</b:Last>
          </b:Person>
        </b:NameList>
      </b:Author>
      <b:BookAuthor>
        <b:NameList>
          <b:Person>
            <b:Last>CARLOSMAFLA</b:Last>
          </b:Person>
        </b:NameList>
      </b:BookAuthor>
    </b:Author>
    <b:URL>http://repositorio.utn.edu.ec/handle/123456789/7985</b:URL>
    <b:RefOrder>192</b:RefOrder>
  </b:Source>
  <b:Source>
    <b:Tag>Ala18</b:Tag>
    <b:SourceType>Report</b:SourceType>
    <b:Guid>{1562EAF3-38DE-49FF-9CBB-6806A9125F0B}</b:Guid>
    <b:Title>EFECTO DE LA MICRO ALGA (Chlorella vulgaris) EN EL TRATAMIENTO DE EFLUENTES PROVENIENTES DE LA EXPLOTACIÓN BOVINA Y PORCINA UBICADOS EN LA GRANJA EXPERIMENTAL DE LA FACULTAD DE MEDICINA VETERINARIA Y ZOOTECNIA</b:Title>
    <b:Year>2018</b:Year>
    <b:City>San Carlos Guatemala</b:City>
    <b:Author>
      <b:Author>
        <b:NameList>
          <b:Person>
            <b:Last>Alarcón</b:Last>
            <b:First>Luis</b:First>
          </b:Person>
        </b:NameList>
      </b:Author>
    </b:Author>
    <b:Pages>10 -11</b:Pages>
    <b:URL>http://www.repositorio.usac.edu.gt/8488/1/Tesis%20Luis%20Alarc%C3%B3n.pdf</b:URL>
    <b:RefOrder>193</b:RefOrder>
  </b:Source>
  <b:Source>
    <b:Tag>Eve19</b:Tag>
    <b:SourceType>Report</b:SourceType>
    <b:Guid>{FA8F7B69-9ADF-4CF0-A459-14C40FA33744}</b:Guid>
    <b:Title>Eficiencia del alga Macrocystis integrifolia en la aplicación de la cinética de adsorción de plomo, efluente minero, Arequipa 2019.</b:Title>
    <b:Year>2019</b:Year>
    <b:City>Piura Peru</b:City>
    <b:Author>
      <b:Author>
        <b:NameList>
          <b:Person>
            <b:Last>Avellaneda</b:Last>
            <b:First>Evelyn</b:First>
            <b:Middle>Giovanna Ramirez</b:Middle>
          </b:Person>
        </b:NameList>
      </b:Author>
    </b:Author>
    <b:Institution>Universidad Cesar Vallejo</b:Institution>
    <b:Pages>30- 56</b:Pages>
    <b:URL>https://repositorio.ucv.edu.pe/bitstream/handle/20.500.12692/40060/Ramirez%20_AEG.pdf?sequence=1&amp;isAllowed=y</b:URL>
    <b:RefOrder>194</b:RefOrder>
  </b:Source>
  <b:Source>
    <b:Tag>CLA15</b:Tag>
    <b:SourceType>Report</b:SourceType>
    <b:Guid>{CDFFE1F0-75C1-4BF3-8EDF-36C23FC9B58B}</b:Guid>
    <b:Title>PROFESOR PATROCINANTE:MBA. MARÍA GABRIELA MANOLI ESCUELA DE INGENIERÍA CIVIL INDUSTRIALPlan de Negocio de “Producción Sostenible a nivel industrial del alga parda Macrocystis pyrifera (huiro) en Chile, con Mercado Objetivo en la Industria Abalonera</b:Title>
    <b:Year>2015</b:Year>
    <b:City>PUERTO MONTT –CHILE</b:City>
    <b:Author>
      <b:Author>
        <b:NameList>
          <b:Person>
            <b:Last>MUÑOZ</b:Last>
            <b:First>CLAUDIO</b:First>
            <b:Middle>ANDRES MUÑOZ</b:Middle>
          </b:Person>
        </b:NameList>
      </b:Author>
    </b:Author>
    <b:Institution>Universidad Austral de Chile </b:Institution>
    <b:Pages>40</b:Pages>
    <b:URL>http://cybertesis.uach.cl/tesis/uach/2015/bpmfcim971p/doc/bpmfcim971p.pdf</b:URL>
    <b:RefOrder>195</b:RefOrder>
  </b:Source>
  <b:Source>
    <b:Tag>GAL15</b:Tag>
    <b:SourceType>Report</b:SourceType>
    <b:Guid>{682A4FE9-5891-448C-8D9A-612429215A94}</b:Guid>
    <b:Title>‘’EFECTO DE LAS ALGAS MARINAS EN LA FERTILIZACIÓNDEL CULTIVO DE ARROZ (Oryza sativa L.)’’</b:Title>
    <b:Year>2015</b:Year>
    <b:City>Guayaquil</b:City>
    <b:Author>
      <b:Author>
        <b:NameList>
          <b:Person>
            <b:Last>ABATA</b:Last>
            <b:First>GALO</b:First>
            <b:Middle>ENRIQUE VILLAFUERTE</b:Middle>
          </b:Person>
        </b:NameList>
      </b:Author>
    </b:Author>
    <b:Pages>6 - 7</b:Pages>
    <b:URL>http://repositorio.ug.edu.ec/bitstream/redug/8494/1/Villafuerte%20Abata%20Galo%20Enrique.pdf</b:URL>
    <b:RefOrder>196</b:RefOrder>
  </b:Source>
  <b:Source>
    <b:Tag>TOR19</b:Tag>
    <b:SourceType>BookSection</b:SourceType>
    <b:Guid>{410B6FB9-AC6F-4DF4-B8CE-6D6612D6F9E5}</b:Guid>
    <b:Title>ALGASMARINASEN EL RENDIMIENTO Y CALIDAD DE SANDÍA (Citrulluslanatus)cv. Santa MatildeBAJO CONDICIONES DEL VALLE DE CAÑETE”</b:Title>
    <b:Year>2019</b:Year>
    <b:City>Lima Peru</b:City>
    <b:Author>
      <b:Author>
        <b:NameList>
          <b:Person>
            <b:Last>TORRES</b:Last>
            <b:First>ALAN</b:First>
            <b:Middle>JUNIOR SANCHEZ</b:Middle>
          </b:Person>
        </b:NameList>
      </b:Author>
      <b:BookAuthor>
        <b:NameList>
          <b:Person>
            <b:Last>TORRES</b:Last>
            <b:First>ALAN</b:First>
            <b:Middle>JUNIOR SANCHEZ</b:Middle>
          </b:Person>
        </b:NameList>
      </b:BookAuthor>
    </b:Author>
    <b:Pages>14</b:Pages>
    <b:URL>https://core.ac.uk/download/pdf/270037005.pdf</b:URL>
    <b:BookTitle>ALGASMARINASEN EL RENDIMIENTO Y CALIDAD DE SANDÍA (Citrulluslanatus)cv. Santa MatildeBAJO CONDICIONES DEL VALLE DE CAÑETE”</b:BookTitle>
    <b:RefOrder>197</b:RefOrder>
  </b:Source>
  <b:Source>
    <b:Tag>Bar90</b:Tag>
    <b:SourceType>Book</b:SourceType>
    <b:Guid>{3F682C2C-5624-48E3-AA17-5BE66FA8DC18}</b:Guid>
    <b:Author>
      <b:Author>
        <b:NameList>
          <b:Person>
            <b:Last>Rotger</b:Last>
            <b:First>Bartolomé</b:First>
          </b:Person>
        </b:NameList>
      </b:Author>
    </b:Author>
    <b:Title>evaluación formativa</b:Title>
    <b:Year>1990</b:Year>
    <b:City>Madrid</b:City>
    <b:Publisher>Cincel. </b:Publisher>
    <b:RefOrder>198</b:RefOrder>
  </b:Source>
  <b:Source>
    <b:Tag>Din02</b:Tag>
    <b:SourceType>Book</b:SourceType>
    <b:Guid>{9AD95C24-59CC-45C0-BA9C-5573D9F4DD00}</b:Guid>
    <b:Title>Mañana examen</b:Title>
    <b:Year>2002</b:Year>
    <b:City>Barcelona</b:City>
    <b:Publisher>Graó</b:Publisher>
    <b:JournalName>Revista docencia universitaria</b:JournalName>
    <b:Author>
      <b:Author>
        <b:NameList>
          <b:Person>
            <b:Last>Salinas Fernández</b:Last>
            <b:First>Dino</b:First>
          </b:Person>
        </b:NameList>
      </b:Author>
    </b:Author>
    <b:RefOrder>199</b:RefOrder>
  </b:Source>
  <b:Source>
    <b:Tag>Álv03</b:Tag>
    <b:SourceType>Book</b:SourceType>
    <b:Guid>{0699CBFD-3CCD-44CC-A707-1306AA2A215F}</b:Guid>
    <b:Title>La evaluación a examen</b:Title>
    <b:Year>2003</b:Year>
    <b:City>Madrid</b:City>
    <b:Publisher>Miño y Dávila</b:Publisher>
    <b:Author>
      <b:Author>
        <b:NameList>
          <b:Person>
            <b:Last>Álvarez </b:Last>
            <b:First>Juan Manuel</b:First>
          </b:Person>
        </b:NameList>
      </b:Author>
    </b:Author>
    <b:RefOrder>200</b:RefOrder>
  </b:Source>
  <b:Source>
    <b:Tag>Ped77</b:Tag>
    <b:SourceType>Book</b:SourceType>
    <b:Guid>{7C13C350-7747-4FE0-ABE0-2E9E23DBDB72}</b:Guid>
    <b:Title>Evaluacion de los aprendizajes </b:Title>
    <b:Year>1977</b:Year>
    <b:Author>
      <b:Author>
        <b:NameList>
          <b:Person>
            <b:Last>Lafourcade</b:Last>
            <b:First>Pedro</b:First>
          </b:Person>
        </b:NameList>
      </b:Author>
    </b:Author>
    <b:City>Madrid</b:City>
    <b:Publisher>kapelusz</b:Publisher>
    <b:RefOrder>201</b:RefOrder>
  </b:Source>
  <b:Source>
    <b:Tag>Cab11</b:Tag>
    <b:SourceType>JournalArticle</b:SourceType>
    <b:Guid>{938F1B46-AA21-43A3-9AD2-FCBC30432B8F}</b:Guid>
    <b:Title>Técnicas e instrumentos de evaluación: una propuesta de clasificación</b:Title>
    <b:Year>2011</b:Year>
    <b:JournalName>REIRE, Revista d’Innovació i Recerca en Educació</b:JournalName>
    <b:Pages>112-124</b:Pages>
    <b:Author>
      <b:Author>
        <b:NameList>
          <b:Person>
            <b:Last>Cabrera Rodríguez </b:Last>
            <b:First>Flor A</b:First>
          </b:Person>
        </b:NameList>
      </b:Author>
    </b:Author>
    <b:RefOrder>202</b:RefOrder>
  </b:Source>
  <b:Source>
    <b:Tag>Ubi16</b:Tag>
    <b:SourceType>Book</b:SourceType>
    <b:Guid>{5B24CD7A-DF8C-4DF5-9086-D058F6536B62}</b:Guid>
    <b:Title>Tecnicas e Instrumentos de Evaluacion</b:Title>
    <b:Year>2016</b:Year>
    <b:City>Santo Domingo/ Repubica Dominicana</b:City>
    <b:Publisher>Or service, S.R.L.</b:Publisher>
    <b:Author>
      <b:Author>
        <b:NameList>
          <b:Person>
            <b:Last>Ubiera</b:Last>
            <b:First>Letty M</b:First>
          </b:Person>
          <b:Person>
            <b:Last>D'Oleo</b:Last>
            <b:First>Alejandro </b:First>
          </b:Person>
        </b:NameList>
      </b:Author>
    </b:Author>
    <b:RefOrder>203</b:RefOrder>
  </b:Source>
  <b:Source>
    <b:Tag>Día13</b:Tag>
    <b:SourceType>JournalArticle</b:SourceType>
    <b:Guid>{5FE36A8A-5B11-4A2F-BC6D-CE07187BA351}</b:Guid>
    <b:Title>La entrevista, recurso flexible y dinámico</b:Title>
    <b:Year>2013</b:Year>
    <b:JournalName>Scielo </b:JournalName>
    <b:Author>
      <b:Author>
        <b:NameList>
          <b:Person>
            <b:Last>Díaz Bravo</b:Last>
            <b:First>Laura Pamela</b:First>
          </b:Person>
        </b:NameList>
      </b:Author>
    </b:Author>
    <b:RefOrder>204</b:RefOrder>
  </b:Source>
  <b:Source>
    <b:Tag>Cab86</b:Tag>
    <b:SourceType>BookSection</b:SourceType>
    <b:Guid>{DE318E69-4CDF-4CCC-AA2B-A702EACDD088}</b:Guid>
    <b:Title>Técnicas sociométricas.</b:Title>
    <b:Year>1986</b:Year>
    <b:City>Barcelona</b:City>
    <b:Author>
      <b:Author>
        <b:NameList>
          <b:Person>
            <b:Last>Cabrera </b:Last>
            <b:First>F</b:First>
          </b:Person>
          <b:Person>
            <b:Last>Espín</b:Last>
            <b:First> J. V.</b:First>
          </b:Person>
        </b:NameList>
      </b:Author>
    </b:Author>
    <b:Publisher>PPU</b:Publisher>
    <b:BookTitle>Medición y evaluación educativa</b:BookTitle>
    <b:Pages>241-269</b:Pages>
    <b:RefOrder>205</b:RefOrder>
  </b:Source>
  <b:Source>
    <b:Tag>Lóp15</b:Tag>
    <b:SourceType>JournalArticle</b:SourceType>
    <b:Guid>{5A4DB36A-BC4E-4501-8319-D131A7B90913}</b:Guid>
    <b:Title>Medios, técnicas e instrumentos de evaluación formativa y compartida del aprendizaje en educación superior</b:Title>
    <b:Year>2015</b:Year>
    <b:JournalName>Scielo </b:JournalName>
    <b:Author>
      <b:Author>
        <b:NameList>
          <b:Person>
            <b:Last> López Pastor</b:Last>
            <b:First>Víctor Manuel</b:First>
          </b:Person>
          <b:Person>
            <b:Last>López Pastor</b:Last>
            <b:First>Ana Teresa </b:First>
          </b:Person>
        </b:NameList>
      </b:Author>
    </b:Author>
    <b:RefOrder>206</b:RefOrder>
  </b:Source>
  <b:Source>
    <b:Tag>Arr04</b:Tag>
    <b:SourceType>JournalArticle</b:SourceType>
    <b:Guid>{32B3A79D-1C69-438B-86D6-A292EC70072F}</b:Guid>
    <b:Title>Diseño y validacion de cuestionarios </b:Title>
    <b:Year>2004</b:Year>
    <b:JournalName>Matronas Profesion </b:JournalName>
    <b:Pages>23-29</b:Pages>
    <b:Author>
      <b:Author>
        <b:NameList>
          <b:Person>
            <b:Last>Arribas</b:Last>
            <b:First>Martin </b:First>
          </b:Person>
        </b:NameList>
      </b:Author>
    </b:Author>
    <b:RefOrder>207</b:RefOrder>
  </b:Source>
  <b:Source>
    <b:Tag>Cam08</b:Tag>
    <b:SourceType>JournalArticle</b:SourceType>
    <b:Guid>{7B3BB929-DA80-4510-8FBF-7683291DA0DA}</b:Guid>
    <b:Title>LA INDAGACION: UNA ESTRATEGIA PARA EL APRENDIZAJE DE PROCESOS DE INVESTIGACION </b:Title>
    <b:JournalName>LAURUS Revista de Educacion</b:JournalName>
    <b:Year>2008</b:Year>
    <b:Pages>284-306</b:Pages>
    <b:Author>
      <b:Author>
        <b:NameList>
          <b:Person>
            <b:Last>Camacho </b:Last>
            <b:First>Hermelinda</b:First>
          </b:Person>
          <b:Person>
            <b:Last>Casilla</b:Last>
            <b:First>Darcy</b:First>
          </b:Person>
          <b:Person>
            <b:Last>Finol de Franco </b:Last>
            <b:First>Mineira</b:First>
          </b:Person>
        </b:NameList>
      </b:Author>
    </b:Author>
    <b:RefOrder>208</b:RefOrder>
  </b:Source>
  <b:Source>
    <b:Tag>Julyo</b:Tag>
    <b:SourceType>InternetSite</b:SourceType>
    <b:Guid>{DF7B24D8-4A7F-47D7-B8EA-7320F2CDE492}</b:Guid>
    <b:Title>ECOLEGIOS</b:Title>
    <b:Year>2014</b:Year>
    <b:Author>
      <b:Author>
        <b:NameList>
          <b:Person>
            <b:Last>Perez</b:Last>
            <b:First>Julian</b:First>
          </b:Person>
        </b:NameList>
      </b:Author>
    </b:Author>
    <b:Month>05</b:Month>
    <b:Day>13</b:Day>
    <b:URL>http://www.minam.gob.pe/proyecolegios/Curso/curso-virtual/Modulos/modulo2/1Inicial/m2_inicial/los_instrumentos_de_evaluacin.html</b:URL>
    <b:RefOrder>209</b:RefOrder>
  </b:Source>
  <b:Source>
    <b:Tag>Mor10</b:Tag>
    <b:SourceType>JournalArticle</b:SourceType>
    <b:Guid>{C5571445-FCED-499F-8934-DC78B4B5A5E3}</b:Guid>
    <b:Author>
      <b:Author>
        <b:NameList>
          <b:Person>
            <b:Last>Moreno</b:Last>
            <b:First>Victor</b:First>
          </b:Person>
        </b:NameList>
      </b:Author>
    </b:Author>
    <b:Title>Sobnre el derecho de defensa</b:Title>
    <b:Year>2010</b:Year>
    <b:Pages>17</b:Pages>
    <b:City>Valencia</b:City>
    <b:JournalName>Teoría &amp; Derecho Revista de Pensamiento Jurídico</b:JournalName>
    <b:Issue>8</b:Issue>
    <b:RefOrder>210</b:RefOrder>
  </b:Source>
  <b:Source>
    <b:Tag>Lan12</b:Tag>
    <b:SourceType>JournalArticle</b:SourceType>
    <b:Guid>{867D66E7-AE13-485A-B909-B1A112EB69F3}</b:Guid>
    <b:Author>
      <b:Author>
        <b:NameList>
          <b:Person>
            <b:Last>Landa</b:Last>
            <b:First>Cesar</b:First>
          </b:Person>
        </b:NameList>
      </b:Author>
    </b:Author>
    <b:Title>El  derecho fundamental  al  debido proceso y a la tutela judicial efectivo</b:Title>
    <b:JournalName>Pensamiento Constitucioanal</b:JournalName>
    <b:Year>2012</b:Year>
    <b:Publisher>file:///C:/Users/MINEDUC/AppData/Local/Temp/3287-Texto%20del%20art%C3%ADculo-12416-1-10-20121110.pdf</b:Publisher>
    <b:Issue>8</b:Issue>
    <b:RefOrder>211</b:RefOrder>
  </b:Source>
  <b:Source>
    <b:Tag>LCu13</b:Tag>
    <b:SourceType>Book</b:SourceType>
    <b:Guid>{9C248937-2B47-4EFB-86D7-8BC683745A90}</b:Guid>
    <b:Title>El debido proceso</b:Title>
    <b:Year>2013</b:Year>
    <b:Author>
      <b:Author>
        <b:NameList>
          <b:Person>
            <b:Last>Cueva</b:Last>
            <b:First>L</b:First>
          </b:Person>
        </b:NameList>
      </b:Author>
    </b:Author>
    <b:City>Quito</b:City>
    <b:Publisher>Cueva Carrrion</b:Publisher>
    <b:RefOrder>212</b:RefOrder>
  </b:Source>
  <b:Source>
    <b:Tag>Pro21</b:Tag>
    <b:SourceType>Book</b:SourceType>
    <b:Guid>{A02C44C0-3039-4B1D-B1DB-F15DDAC5C2BA}</b:Guid>
    <b:Author>
      <b:Author>
        <b:Corporate>Programa Sin-Frontera</b:Corporate>
      </b:Author>
    </b:Author>
    <b:Title>Manual didactico para la proteccion de los derechos en las juntas cantonales de proteccion e derechos</b:Title>
    <b:Year>2021</b:Year>
    <b:City>Ecuador</b:City>
    <b:URL>http://repositorio.dpe.gob.ec/bitstream/39000/2968/1/PE-005-DPE-2021.pdf</b:URL>
    <b:RefOrder>213</b:RefOrder>
  </b:Source>
  <b:Source>
    <b:Tag>Min17</b:Tag>
    <b:SourceType>DocumentFromInternetSite</b:SourceType>
    <b:Guid>{EC0A1879-E677-4128-914E-3FCEC99F540E}</b:Guid>
    <b:Author>
      <b:Author>
        <b:Corporate>Ministerio de Educación </b:Corporate>
      </b:Author>
    </b:Author>
    <b:Title>www.educacion.gob.ec</b:Title>
    <b:Year>2017</b:Year>
    <b:YearAccessed>2021</b:YearAccessed>
    <b:MonthAccessed>Mayo</b:MonthAccessed>
    <b:URL>https://educacion.gob.ec/wp-content/uploads/downloads/2017/08/oferta-formativa-de-bachillerato-tecnico.pdf</b:URL>
    <b:RefOrder>214</b:RefOrder>
  </b:Source>
  <b:Source>
    <b:Tag>MIN21</b:Tag>
    <b:SourceType>DocumentFromInternetSite</b:SourceType>
    <b:Guid>{EFB6CBE5-AF2C-4CF3-956D-A541BB31846E}</b:Guid>
    <b:Author>
      <b:Author>
        <b:Corporate>MINEDUC</b:Corporate>
      </b:Author>
    </b:Author>
    <b:Title>www.educacion.gob.ec</b:Title>
    <b:Year>2021</b:Year>
    <b:YearAccessed>2021</b:YearAccessed>
    <b:MonthAccessed>Mayo</b:MonthAccessed>
    <b:URL>https://educacion.gob.ec/bachillerato-tecnico/</b:URL>
    <b:RefOrder>215</b:RefOrder>
  </b:Source>
  <b:Source>
    <b:Tag>Ben19</b:Tag>
    <b:SourceType>DocumentFromInternetSite</b:SourceType>
    <b:Guid>{6F1491F1-97AF-4C36-B622-9426C51265FD}</b:Guid>
    <b:Author>
      <b:Author>
        <b:NameList>
          <b:Person>
            <b:Last>Benítez</b:Last>
            <b:First>Robinson</b:First>
          </b:Person>
        </b:NameList>
      </b:Author>
    </b:Author>
    <b:Title>www.scielo.sld.cu</b:Title>
    <b:Year>2019</b:Year>
    <b:Month>Diciembre</b:Month>
    <b:Day>02</b:Day>
    <b:YearAccessed>2021</b:YearAccessed>
    <b:MonthAccessed>Mayo</b:MonthAccessed>
    <b:DayAccessed>23</b:DayAccessed>
    <b:URL>http://scielo.sld.cu/scielo.php?script=sci_arttext&amp;pid=S2218-36202019000500356</b:URL>
    <b:RefOrder>216</b:RefOrder>
  </b:Source>
  <b:Source>
    <b:Tag>SUP21</b:Tag>
    <b:SourceType>DocumentFromInternetSite</b:SourceType>
    <b:Guid>{F1359EE2-7EC0-4260-801C-8BFA27D2466A}</b:Guid>
    <b:Author>
      <b:Author>
        <b:Corporate>SUPERCÍAS</b:Corporate>
      </b:Author>
    </b:Author>
    <b:Title>www.supercias.gob.ec</b:Title>
    <b:Year>2021</b:Year>
    <b:Month>Abril</b:Month>
    <b:YearAccessed>2021</b:YearAccessed>
    <b:MonthAccessed>Mayo</b:MonthAccessed>
    <b:DayAccessed>24</b:DayAccessed>
    <b:URL>https://reporteria.supercias.gob.ec/portal/cgi-bin/cognos.cgi?b_action=cognosViewer&amp;ui.action=run&amp;ui.object=%2fcontent%2ffolder%5b%40name%3d%27Reportes%27%5d%2ffolder%5b%40name%3d%27Compa%c3%b1ia%27%5d%2freport%5b%40name%3d%27Directorio%20Resumido%27%5d&amp;u</b:URL>
    <b:RefOrder>217</b:RefOrder>
  </b:Source>
  <b:Source>
    <b:Tag>Ser21</b:Tag>
    <b:SourceType>InternetSite</b:SourceType>
    <b:Guid>{EA52D00F-EB87-440D-85CE-B9BBFE5E38C2}</b:Guid>
    <b:Title>www.sri.gob.ec</b:Title>
    <b:Year>2021</b:Year>
    <b:Month>Mayo</b:Month>
    <b:YearAccessed>2021</b:YearAccessed>
    <b:MonthAccessed>Mayo</b:MonthAccessed>
    <b:DayAccessed>24</b:DayAccessed>
    <b:URL>https://www.sri.gob.ec/catastros</b:URL>
    <b:Author>
      <b:Author>
        <b:Corporate>Servicios de Rentas Internas</b:Corporate>
      </b:Author>
    </b:Author>
    <b:RefOrder>218</b:RefOrder>
  </b:Source>
  <b:Source>
    <b:Tag>Lóp16</b:Tag>
    <b:SourceType>DocumentFromInternetSite</b:SourceType>
    <b:Guid>{9EE4D81C-3C4B-4A4E-B0DF-70D6F6DC461A}</b:Guid>
    <b:Title>www.redalyc.org</b:Title>
    <b:Year>2016</b:Year>
    <b:Month>Abril</b:Month>
    <b:YearAccessed>2021</b:YearAccessed>
    <b:MonthAccessed>Mayo</b:MonthAccessed>
    <b:DayAccessed>24</b:DayAccessed>
    <b:URL>https://www.redalyc.org/pdf/567/56745576016.pdf</b:URL>
    <b:Author>
      <b:Author>
        <b:NameList>
          <b:Person>
            <b:Last>López Gómez</b:Last>
            <b:First>Ernesto</b:First>
          </b:Person>
        </b:NameList>
      </b:Author>
    </b:Author>
    <b:RefOrder>219</b:RefOrder>
  </b:Source>
  <b:Source>
    <b:Tag>Pér12</b:Tag>
    <b:SourceType>InternetSite</b:SourceType>
    <b:Guid>{D529F3D7-BFCC-4E67-BDF8-EB391607A867}</b:Guid>
    <b:Author>
      <b:Author>
        <b:NameList>
          <b:Person>
            <b:Last>Pérez Capdevila</b:Last>
            <b:First>Javier</b:First>
          </b:Person>
        </b:NameList>
      </b:Author>
    </b:Author>
    <b:Title>www.dialnet.unirioja.es</b:Title>
    <b:Year>2012</b:Year>
    <b:Month>Abril</b:Month>
    <b:YearAccessed>2021</b:YearAccessed>
    <b:MonthAccessed>Mayo</b:MonthAccessed>
    <b:DayAccessed>24</b:DayAccessed>
    <b:URL>https://dialnet.unirioja.es/descarga/articulo/3920458.pdf</b:URL>
    <b:RefOrder>220</b:RefOrder>
  </b:Source>
  <b:Source>
    <b:Tag>Ail08</b:Tag>
    <b:SourceType>DocumentFromInternetSite</b:SourceType>
    <b:Guid>{42CD2373-9E69-4584-AFA9-481206579AA3}</b:Guid>
    <b:Title>www.core.ac.uk</b:Title>
    <b:Year>2008</b:Year>
    <b:Author>
      <b:Author>
        <b:NameList>
          <b:Person>
            <b:Last>Aillón</b:Last>
            <b:First>A</b:First>
          </b:Person>
          <b:Person>
            <b:Last>Parra</b:Last>
            <b:First>J</b:First>
          </b:Person>
          <b:Person>
            <b:Last>Prado</b:Last>
            <b:First>L</b:First>
          </b:Person>
        </b:NameList>
      </b:Author>
    </b:Author>
    <b:Month>Julio</b:Month>
    <b:YearAccessed>2021</b:YearAccessed>
    <b:MonthAccessed>Mayo</b:MonthAccessed>
    <b:DayAccessed>24</b:DayAccessed>
    <b:URL>https://core.ac.uk/download/pdf/47066441.pdf</b:URL>
    <b:RefOrder>221</b:RefOrder>
  </b:Source>
  <b:Source>
    <b:Tag>Ida09</b:Tag>
    <b:SourceType>Book</b:SourceType>
    <b:Guid>{A6ADEFC5-B7A0-4389-BC8A-C25AB78ADA4E}</b:Guid>
    <b:Title>Gestión del Talento Humano</b:Title>
    <b:Year>2009</b:Year>
    <b:Author>
      <b:Author>
        <b:NameList>
          <b:Person>
            <b:Last>Chiavenato</b:Last>
            <b:First>Idalverto</b:First>
          </b:Person>
        </b:NameList>
      </b:Author>
    </b:Author>
    <b:City>México</b:City>
    <b:Publisher>McGraw Hill</b:Publisher>
    <b:RefOrder>222</b:RefOrder>
  </b:Source>
  <b:Source>
    <b:Tag>Cra17</b:Tag>
    <b:SourceType>DocumentFromInternetSite</b:SourceType>
    <b:Guid>{2878A7B2-C804-4509-BD98-4E66487243B8}</b:Guid>
    <b:Author>
      <b:Author>
        <b:NameList>
          <b:Person>
            <b:Last>Cravero del Sordo</b:Last>
            <b:First>Eleanora</b:First>
          </b:Person>
        </b:NameList>
      </b:Author>
    </b:Author>
    <b:Title>www.disposit.ub.edu</b:Title>
    <b:Year>2017</b:Year>
    <b:Month>Junio</b:Month>
    <b:Day>20</b:Day>
    <b:YearAccessed>2021</b:YearAccessed>
    <b:MonthAccessed>Mayo</b:MonthAccessed>
    <b:DayAccessed>24</b:DayAccessed>
    <b:URL>http://diposit.ub.edu/dspace/bitstream/2445/118482/1/tfm_eleonora_cravero.pdf</b:URL>
    <b:RefOrder>223</b:RefOrder>
  </b:Source>
  <b:Source>
    <b:Tag>Con11</b:Tag>
    <b:SourceType>DocumentFromInternetSite</b:SourceType>
    <b:Guid>{1F2FF04B-576C-4B32-9FEC-1DCFA17AF368}</b:Guid>
    <b:Author>
      <b:Author>
        <b:NameList>
          <b:Person>
            <b:Last>Contento A</b:Last>
            <b:First>Doris</b:First>
          </b:Person>
        </b:NameList>
      </b:Author>
    </b:Author>
    <b:Title>www.iaen.edu.ec</b:Title>
    <b:Year>2011</b:Year>
    <b:YearAccessed>2024</b:YearAccessed>
    <b:MonthAccessed>Mayo</b:MonthAccessed>
    <b:DayAccessed>24</b:DayAccessed>
    <b:URL>https://editorial.iaen.edu.ec/wp-content/uploads/2020/07/Jo%CC%81venes-en-el-mercado-laboral-programa-%E2%80%9CMi-primer-empleo%E2%80%9D-en-la-provincia-de-Loja-Ecuador-2010-2011.pdf</b:URL>
    <b:RefOrder>224</b:RefOrder>
  </b:Source>
  <b:Source>
    <b:Tag>INE215</b:Tag>
    <b:SourceType>DocumentFromInternetSite</b:SourceType>
    <b:Guid>{FB48DF56-8131-4EBC-98FF-F2524324F475}</b:Guid>
    <b:Author>
      <b:Author>
        <b:Corporate>INEC</b:Corporate>
      </b:Author>
    </b:Author>
    <b:Title>www.inec.gob.ec</b:Title>
    <b:Year>2021</b:Year>
    <b:URL>http://redatam.inec.gob.ec/cgibin/RpWebEngine.exe/PortalAction?&amp;MODE=MAIN&amp;BASE=CENEC&amp;MAIN=WebServerMain.inl</b:URL>
    <b:RefOrder>225</b:RefOrder>
  </b:Source>
  <b:Source>
    <b:Tag>MIN212</b:Tag>
    <b:SourceType>DocumentFromInternetSite</b:SourceType>
    <b:Guid>{1B9F2304-2BED-4E19-8797-2BDED68CFAE5}</b:Guid>
    <b:Author>
      <b:Author>
        <b:Corporate>MINEDUC</b:Corporate>
      </b:Author>
    </b:Author>
    <b:Title>www.educacion.gob.ec</b:Title>
    <b:Year>2021</b:Year>
    <b:URL>https://educacion.gob.ec/base-de-datos/</b:URL>
    <b:RefOrder>226</b:RefOrder>
  </b:Source>
  <b:Source>
    <b:Tag>Adr15</b:Tag>
    <b:SourceType>JournalArticle</b:SourceType>
    <b:Guid>{1C193FD1-20B6-4665-ADAA-253F44C7835D}</b:Guid>
    <b:Title>Competencias docentes digitales: propuesta de un perfil</b:Title>
    <b:JournalName>Pixel-Bit. Revista de Medios y Educación</b:JournalName>
    <b:Year>2015</b:Year>
    <b:Pages>235-248</b:Pages>
    <b:Author>
      <b:Author>
        <b:NameList>
          <b:Person>
            <b:Last>Baca</b:Last>
            <b:First>Adriana</b:First>
          </b:Person>
        </b:NameList>
      </b:Author>
    </b:Author>
    <b:Issue>46</b:Issue>
    <b:DOI>http://dx.doi.org/10.12795/pixelbit.2015.i46.15</b:DOI>
    <b:URL>https://www.redalyc.org/pdf/368/36832959015.pdf</b:URL>
    <b:RefOrder>227</b:RefOrder>
  </b:Source>
  <b:Source>
    <b:Tag>Cai17</b:Tag>
    <b:SourceType>Report</b:SourceType>
    <b:Guid>{34CF0AAE-1EFB-4DF2-87B4-52BDD68A50CD}</b:Guid>
    <b:Title>SISTEMA DE GESTIÓN DE SEGURIDAD Y SALUD OCUPACIONAL BASADO EN OHSAS 18001:2007 EN UN HOSPITAL</b:Title>
    <b:Year>2017</b:Year>
    <b:Publisher>Universidad de Guayaquil</b:Publisher>
    <b:City>Guayaquil</b:City>
    <b:Author>
      <b:Author>
        <b:NameList>
          <b:Person>
            <b:Last>Caicedo Cortez</b:Last>
            <b:First>Diego</b:First>
          </b:Person>
          <b:Person>
            <b:Last>Pluas Álvarez</b:Last>
            <b:First>Freddy</b:First>
          </b:Person>
        </b:NameList>
      </b:Author>
    </b:Author>
    <b:RefOrder>228</b:RefOrder>
  </b:Source>
  <b:Source>
    <b:Tag>Mar20</b:Tag>
    <b:SourceType>JournalArticle</b:SourceType>
    <b:Guid>{2B8C3D42-3759-4A5E-BB5C-ECB3CABD2522}</b:Guid>
    <b:Title>DERECHO A LA SALUD EN EL TRABAJO: VULNERACIÓN Y FRAGMENTACIÓN EN SU COMPRENSIÓN Y MATERIALIZACIÓN</b:Title>
    <b:JournalName>Scielo. Hacia la Promoción de la Salud</b:JournalName>
    <b:Year>2020</b:Year>
    <b:Author>
      <b:Author>
        <b:NameList>
          <b:Person>
            <b:Last>Marín Ospina</b:Last>
            <b:First>Yuly </b:First>
          </b:Person>
          <b:Person>
            <b:Last>Higuita Higuita</b:Last>
            <b:First>Yomaira</b:First>
          </b:Person>
          <b:Person>
            <b:Last>Guerra Mazo</b:Last>
            <b:First>Diana</b:First>
          </b:Person>
          <b:Person>
            <b:Last>Gómez Ceballos</b:Last>
            <b:First>Diego</b:First>
          </b:Person>
          <b:Person>
            <b:Last>Soto Velásquez</b:Last>
            <b:First>Mónica</b:First>
          </b:Person>
        </b:NameList>
      </b:Author>
    </b:Author>
    <b:RefOrder>229</b:RefOrder>
  </b:Source>
  <b:Source>
    <b:Tag>Pla16</b:Tag>
    <b:SourceType>Report</b:SourceType>
    <b:Guid>{6D0D9365-00EF-4353-8BF1-1B9141218D17}</b:Guid>
    <b:Title>REDISEÑO DE ESPACIOS INTERIORES EN EL HOSPITAL ISRAEL QUINTERO PAREDES</b:Title>
    <b:Year>2016</b:Year>
    <b:Publisher>Universidad Católica Santiago de Guayaquil</b:Publisher>
    <b:City>Guayaquil</b:City>
    <b:Author>
      <b:Author>
        <b:NameList>
          <b:Person>
            <b:Last>Plaza Bravo</b:Last>
            <b:First>Angela</b:First>
          </b:Person>
        </b:NameList>
      </b:Author>
    </b:Author>
    <b:RefOrder>230</b:RefOrder>
  </b:Source>
  <b:Source>
    <b:Tag>Fun201</b:Tag>
    <b:SourceType>DocumentFromInternetSite</b:SourceType>
    <b:Guid>{0966820A-DF65-4498-8804-DBBE4E8A9084}</b:Guid>
    <b:Author>
      <b:Author>
        <b:Corporate>Fundación para la prevención de riesgos laborales</b:Corporate>
      </b:Author>
    </b:Author>
    <b:Title>Evaluación de riesgos</b:Title>
    <b:Year>2020</b:Year>
    <b:URL>https://riesgoslaborales.saludlaboral.org/portal-preventivo/conceptos-generales-de-la-prl/2-evaluacion-de-riesgos/</b:URL>
    <b:RefOrder>231</b:RefOrder>
  </b:Source>
  <b:Source>
    <b:Tag>MSP18</b:Tag>
    <b:SourceType>DocumentFromInternetSite</b:SourceType>
    <b:Guid>{DEF018C8-859F-4068-9CA4-54B3D51A917C}</b:Guid>
    <b:Author>
      <b:Author>
        <b:Corporate>MSP</b:Corporate>
      </b:Author>
    </b:Author>
    <b:InternetSiteTitle>Calificación de la discapacidad</b:InternetSiteTitle>
    <b:Year>2018</b:Year>
    <b:URL>https://www.salud.gob.ec/wp-content/uploads/downloads/2018/12/Manual_Calificaci%C3%B3n-de_Discapacidad_2018.pdf</b:URL>
    <b:YearAccessed>2021</b:YearAccessed>
    <b:MonthAccessed>Octubre</b:MonthAccessed>
    <b:DayAccessed>15</b:DayAccessed>
    <b:Title>Manual de Clasificación de la Discapacidad</b:Title>
    <b:RefOrder>232</b:RefOrder>
  </b:Source>
  <b:Source>
    <b:Tag>Con17</b:Tag>
    <b:SourceType>DocumentFromInternetSite</b:SourceType>
    <b:Guid>{44251B3A-0273-4498-9E80-C0B2EDAC1974}</b:Guid>
    <b:Author>
      <b:Author>
        <b:Corporate>Conadis</b:Corporate>
      </b:Author>
    </b:Author>
    <b:InternetSiteTitle>Guía para atención con personas con discapacidad en la Salud Rural</b:InternetSiteTitle>
    <b:Year>2017</b:Year>
    <b:URL>https://familiavance.com/wp-content/uploads/2021/02/CONADIS-2017-Guia-para-atencion-de-personas-con-discapacidad-en-la-salud-rural_compressed_compressed_reduce.pdf</b:URL>
    <b:YearAccessed>2021</b:YearAccessed>
    <b:MonthAccessed>10</b:MonthAccessed>
    <b:DayAccessed>15</b:DayAccessed>
    <b:RefOrder>233</b:RefOrder>
  </b:Source>
  <b:Source>
    <b:Tag>Del19</b:Tag>
    <b:SourceType>DocumentFromInternetSite</b:SourceType>
    <b:Guid>{D04E8C26-6CCD-4D8A-A050-D0BADFEB0528}</b:Guid>
    <b:Author>
      <b:Author>
        <b:Corporate>Delgado M, Chávez J, Sancan M</b:Corporate>
      </b:Author>
      <b:Editor>
        <b:NameList>
          <b:Person>
            <b:Last>Dialnet</b:Last>
          </b:Person>
        </b:NameList>
      </b:Editor>
    </b:Author>
    <b:InternetSiteTitle>Importancia de la evaluación clínica de la discapacidad</b:InternetSiteTitle>
    <b:Year>2019</b:Year>
    <b:URL>https://dialnet.unirioja.es/servlet/articulo?codigo=7154254</b:URL>
    <b:YearAccessed>2021</b:YearAccessed>
    <b:MonthAccessed>10</b:MonthAccessed>
    <b:DayAccessed>15</b:DayAccessed>
    <b:Title>Importancia de la Evaluación de la Discapacida</b:Title>
    <b:JournalName>Dialnet</b:JournalName>
    <b:RefOrder>234</b:RefOrder>
  </b:Source>
  <b:Source>
    <b:Tag>Ern17</b:Tag>
    <b:SourceType>InternetSite</b:SourceType>
    <b:Guid>{6B141B07-491F-4556-A120-FE0C0BA8DB97}</b:Guid>
    <b:Author>
      <b:Author>
        <b:NameList>
          <b:Person>
            <b:Last>Cutillas</b:Last>
            <b:First>Ernesto</b:First>
          </b:Person>
        </b:NameList>
      </b:Author>
    </b:Author>
    <b:InternetSiteTitle>Distribución mundial de la población con discapacidades en relación con los patrones geográficos del desarrollo humano</b:InternetSiteTitle>
    <b:Year>2017</b:Year>
    <b:URL>https://rua.ua.es/dspace/bitstream/10045/61767/1/2017_Cutillas_Documents-dAn%c3%a0lisi-Geografica.pdf</b:URL>
    <b:YearAccessed>2021</b:YearAccessed>
    <b:MonthAccessed>10</b:MonthAccessed>
    <b:DayAccessed>15</b:DayAccessed>
    <b:RefOrder>235</b:RefOrder>
  </b:Source>
  <b:Source>
    <b:Tag>Con21</b:Tag>
    <b:SourceType>InternetSite</b:SourceType>
    <b:Guid>{72027A59-D672-40B1-BC5C-3C5ECDF26D36}</b:Guid>
    <b:Author>
      <b:Author>
        <b:Corporate>Consejo Nacional para la Igualdad de Discapacidades</b:Corporate>
      </b:Author>
    </b:Author>
    <b:InternetSiteTitle>Estadísticas de discapacidad</b:InternetSiteTitle>
    <b:Year>2021</b:Year>
    <b:URL>https://www.consejodiscapacidades.gob.ec/estadisticas-de-discapacidad/</b:URL>
    <b:YearAccessed>2021</b:YearAccessed>
    <b:MonthAccessed>10</b:MonthAccessed>
    <b:DayAccessed>16</b:DayAccessed>
    <b:RefOrder>236</b:RefOrder>
  </b:Source>
  <b:Source>
    <b:Tag>Gon16</b:Tag>
    <b:SourceType>DocumentFromInternetSite</b:SourceType>
    <b:Guid>{580F0904-4A11-447B-95E5-CD7BA3A518E3}</b:Guid>
    <b:Author>
      <b:Author>
        <b:Corporate>González M, Monroy A</b:Corporate>
      </b:Author>
    </b:Author>
    <b:InternetSiteTitle>Proceso enfermero tercera generación</b:InternetSiteTitle>
    <b:Year>2016</b:Year>
    <b:URL>https://www.elsevier.es/es-revista-enfermeria-universitaria-400-articulo-proceso-enfermero-tercera-generacion-S1665706316000270</b:URL>
    <b:YearAccessed>2021</b:YearAccessed>
    <b:MonthAccessed>10</b:MonthAccessed>
    <b:DayAccessed>16</b:DayAccessed>
    <b:Title>Proceso Enfermero de tercera generación</b:Title>
    <b:JournalName>Elsevier</b:JournalName>
    <b:RefOrder>237</b:RefOrder>
  </b:Source>
  <b:Source>
    <b:Tag>Sán18</b:Tag>
    <b:SourceType>InternetSite</b:SourceType>
    <b:Guid>{9B1321DD-861A-42C3-A762-ADFBF5AD56D0}</b:Guid>
    <b:Author>
      <b:Author>
        <b:Corporate>Sánchez J, Garzón N, Badillo K, Bernal D.</b:Corporate>
      </b:Author>
    </b:Author>
    <b:InternetSiteTitle>Apreciaciones alrededor de la valoración de enfermería: revisión integrativa</b:InternetSiteTitle>
    <b:Year>2018</b:Year>
    <b:URL>https://coloquioenfermeria2018.sld.cu/index.php/coloquio/2018/paper/viewFile/1159/473</b:URL>
    <b:YearAccessed>2021</b:YearAccessed>
    <b:MonthAccessed>10</b:MonthAccessed>
    <b:DayAccessed>17</b:DayAccessed>
    <b:RefOrder>238</b:RefOrder>
  </b:Source>
  <b:Source>
    <b:Tag>Val17</b:Tag>
    <b:SourceType>InternetSite</b:SourceType>
    <b:Guid>{81613F86-ADC3-49CC-84F6-2D67354CB896}</b:Guid>
    <b:Author>
      <b:Author>
        <b:Corporate>Valdiviezo M, Estrada T, Salazar Y, Rivera E, Betancourt C.</b:Corporate>
      </b:Author>
    </b:Author>
    <b:InternetSiteTitle>Virginia Henderson y Jean Watson: adulto mayor con deterioro de la eliminación urinaria y discapacidad visual</b:InternetSiteTitle>
    <b:Year>2017</b:Year>
    <b:URL>https://eugenioespejo.unach.edu.ec/index.php/EE/article/view/18/177</b:URL>
    <b:YearAccessed>2021</b:YearAccessed>
    <b:MonthAccessed>10</b:MonthAccessed>
    <b:DayAccessed>17</b:DayAccessed>
    <b:RefOrder>239</b:RefOrder>
  </b:Source>
  <b:Source>
    <b:Tag>Nar18</b:Tag>
    <b:SourceType>InternetSite</b:SourceType>
    <b:Guid>{AF1CAD06-B388-40D5-9BB0-243986607484}</b:Guid>
    <b:Author>
      <b:Author>
        <b:Corporate>Naranjo Y, Jiménez N, González L.</b:Corporate>
      </b:Author>
    </b:Author>
    <b:InternetSiteTitle>Análisis de algunas teorías de enfermería y su vigencia de aplicación en Cuba</b:InternetSiteTitle>
    <b:Year>2018</b:Year>
    <b:URL>http://scielo.sld.cu/scielo.php?script=sci_arttext&amp;pid=S1025-02552018000200013</b:URL>
    <b:YearAccessed>2021</b:YearAccessed>
    <b:MonthAccessed>10</b:MonthAccessed>
    <b:DayAccessed>17</b:DayAccessed>
    <b:RefOrder>240</b:RefOrder>
  </b:Source>
  <b:Source>
    <b:Tag>Moy16</b:Tag>
    <b:SourceType>InternetSite</b:SourceType>
    <b:Guid>{CF31FA84-E390-47B0-AC6C-78BCDFD038CE}</b:Guid>
    <b:Author>
      <b:Author>
        <b:NameList>
          <b:Person>
            <b:Last>Moya</b:Last>
            <b:First>G</b:First>
          </b:Person>
        </b:NameList>
      </b:Author>
    </b:Author>
    <b:InternetSiteTitle>Derechos de los pacientes con enfermedades que asocien con discapacidad: marco legal</b:InternetSiteTitle>
    <b:Year>2016</b:Year>
    <b:URL>http://wwww.repositoriocdpd.net:8080/bitstream/handle/123456789/2000/Art_MoyaG_Derechodelaspersonas_2016.pdf?sequence=1</b:URL>
    <b:YearAccessed>2021</b:YearAccessed>
    <b:MonthAccessed>10</b:MonthAccessed>
    <b:DayAccessed>17</b:DayAccessed>
    <b:RefOrder>241</b:RefOrder>
  </b:Source>
  <b:Source>
    <b:Tag>Guz18</b:Tag>
    <b:SourceType>DocumentFromInternetSite</b:SourceType>
    <b:Guid>{05C3688C-2C80-4C2F-9139-D02558A1801C}</b:Guid>
    <b:Author>
      <b:Author>
        <b:Corporate>Miranda K., Rodríguez Y., Cajachagua M.</b:Corporate>
      </b:Author>
      <b:Editor>
        <b:NameList>
          <b:Person>
            <b:Last>Scielo</b:Last>
            <b:First>Revista</b:First>
          </b:Person>
        </b:NameList>
      </b:Editor>
    </b:Author>
    <b:InternetSiteTitle>Proceso de atención de enfermería como instrumento del cuidado, significado para estudiantes del último curso.</b:InternetSiteTitle>
    <b:Year>2020</b:Year>
    <b:URL>http://www.scielo.org.mx/scielo.php?pid=S1665-70632019000400374&amp;script=sci_arttext</b:URL>
    <b:YearAccessed>2021</b:YearAccessed>
    <b:MonthAccessed>10</b:MonthAccessed>
    <b:DayAccessed>17</b:DayAccessed>
    <b:RefOrder>242</b:RefOrder>
  </b:Source>
  <b:Source>
    <b:Tag>MarcadorDePosición4</b:Tag>
    <b:SourceType>InternetSite</b:SourceType>
    <b:Guid>{DDD6BB3C-7115-4C74-AF81-8CCB18F9EDEE}</b:Guid>
    <b:Author>
      <b:Author>
        <b:NameList>
          <b:Person>
            <b:Last>P.</b:Last>
            <b:First>Torres</b:First>
          </b:Person>
        </b:NameList>
      </b:Author>
      <b:Editor>
        <b:NameList>
          <b:Person>
            <b:Last>Atenas</b:Last>
            <b:First>Revista</b:First>
          </b:Person>
        </b:NameList>
      </b:Editor>
    </b:Author>
    <b:InternetSiteTitle>Acerca de los enfoques cuantitativo y cualitativo en la investigación educativa cubana actual</b:InternetSiteTitle>
    <b:Year>2016</b:Year>
    <b:URL>http://atenas.umcc.cu/index.php/atenas/article/view/194/364</b:URL>
    <b:YearAccessed>2021</b:YearAccessed>
    <b:MonthAccessed>10</b:MonthAccessed>
    <b:DayAccessed>19</b:DayAccessed>
    <b:RefOrder>243</b:RefOrder>
  </b:Source>
  <b:Source>
    <b:Tag>MarcadorDePosición5</b:Tag>
    <b:SourceType>InternetSite</b:SourceType>
    <b:Guid>{3101ECB8-438A-4EAC-9F05-497237735CA5}</b:Guid>
    <b:Author>
      <b:Author>
        <b:NameList>
          <b:Person>
            <b:Last>Corona</b:Last>
            <b:First>J.</b:First>
          </b:Person>
        </b:NameList>
      </b:Author>
    </b:Author>
    <b:InternetSiteTitle>Apuntes sobre métodos de investigación</b:InternetSiteTitle>
    <b:Year>2016</b:Year>
    <b:URL>http://scielo.sld.cu/pdf/ms/v14n1/ms16114.pdf</b:URL>
    <b:YearAccessed>2021</b:YearAccessed>
    <b:MonthAccessed>10</b:MonthAccessed>
    <b:DayAccessed>19</b:DayAccessed>
    <b:RefOrder>244</b:RefOrder>
  </b:Source>
  <b:Source>
    <b:Tag>Tua17</b:Tag>
    <b:SourceType>InternetSite</b:SourceType>
    <b:Guid>{D767D4D7-44F5-4E1B-8899-6F71FDFDA267}</b:Guid>
    <b:Author>
      <b:Author>
        <b:Corporate>Tuapanta J, Duque M, Mena A.</b:Corporate>
      </b:Author>
    </b:Author>
    <b:InternetSiteTitle>Alfa de Cronbach para validar un cuestionario de uso de Tics en docentes universitarios</b:InternetSiteTitle>
    <b:Year>2017</b:Year>
    <b:URL>https://www.researchgate.net/profile/Miguel-Duque-3/publication/331332628_ALFA_DE_CRONBACH_para_validar_un_cuestionario_de_uso_de_TIC_en_docentes_universitarios/links/5c746a34458515831f6fe123/ALFA-DE-CRONBACH-para-validar-un-cuestionario-de-uso-de-TIC-en-</b:URL>
    <b:YearAccessed>2021</b:YearAccessed>
    <b:MonthAccessed>10</b:MonthAccessed>
    <b:DayAccessed>20</b:DayAccessed>
    <b:RefOrder>245</b:RefOrder>
  </b:Source>
  <b:Source>
    <b:Tag>Bar16</b:Tag>
    <b:SourceType>InternetSite</b:SourceType>
    <b:Guid>{866BFC56-A67B-4358-972E-35A0F5328A92}</b:Guid>
    <b:Author>
      <b:Author>
        <b:Corporate>Barrios I, Anido V, Morera M.</b:Corporate>
      </b:Author>
    </b:Author>
    <b:InternetSiteTitle>Declaración de Helsinki: cambios y éxegesis</b:InternetSiteTitle>
    <b:Year>2016</b:Year>
    <b:URL>https://www.medigraphic.com/pdfs/revcubsalpub/csp-2016/csp161n.pdf</b:URL>
    <b:YearAccessed>2021</b:YearAccessed>
    <b:MonthAccessed>10</b:MonthAccessed>
    <b:DayAccessed>20</b:DayAccessed>
    <b:RefOrder>246</b:RefOrder>
  </b:Source>
  <b:Source>
    <b:Tag>ALó19</b:Tag>
    <b:SourceType>DocumentFromInternetSite</b:SourceType>
    <b:Guid>{711D5DF6-C97C-458D-B46A-042E287F13AB}</b:Guid>
    <b:Author>
      <b:Author>
        <b:NameList>
          <b:Person>
            <b:Last>López</b:Last>
            <b:First>Almudena</b:First>
          </b:Person>
        </b:NameList>
      </b:Author>
    </b:Author>
    <b:InternetSiteTitle>Implementación de un cuaderno de comunicación, aumentativa, alternativa, basado en las 14 necesidades de Virginia Henderson para pacientes intubados inconscientes.</b:InternetSiteTitle>
    <b:Year>2019</b:Year>
    <b:URL>https://riull.ull.es/xmlui/bitstream/handle/915/15130/Implementacion%20de%20un%20Cuaderno%20de%20comunicacion%20aumentativaalternativa%20basado%20en%20las%2014%20necesidades%20de%20Virginia%20Henderson%20para%20pacientes%20intubados%20conscientes.pdf?sequ</b:URL>
    <b:YearAccessed>2021</b:YearAccessed>
    <b:MonthAccessed>10</b:MonthAccessed>
    <b:DayAccessed>25</b:DayAccessed>
    <b:RefOrder>247</b:RefOrder>
  </b:Source>
  <b:Source>
    <b:Tag>Cor161</b:Tag>
    <b:SourceType>InternetSite</b:SourceType>
    <b:Guid>{2225A786-D040-4251-89F4-38A9974BE085}</b:Guid>
    <b:Author>
      <b:Author>
        <b:Corporate>Corredor L. Carrillo M.</b:Corporate>
      </b:Author>
    </b:Author>
    <b:InternetSiteTitle>Validez y confiabilidad del instumento de la calidad de vida de Betty Ferrel en español, persona con enfermedad crónica.</b:InternetSiteTitle>
    <b:Year>2016</b:Year>
    <b:URL>https://revistas.javeriana.edu.co/index.php/imagenydesarrollo/article/view/12041/12382</b:URL>
    <b:YearAccessed>2021</b:YearAccessed>
    <b:MonthAccessed>10</b:MonthAccessed>
    <b:DayAccessed>25</b:DayAccessed>
    <b:RefOrder>248</b:RefOrder>
  </b:Source>
  <b:Source>
    <b:Tag>Man18</b:Tag>
    <b:SourceType>InternetSite</b:SourceType>
    <b:Guid>{1776581B-DD3C-4E75-A77A-629D31F275FB}</b:Guid>
    <b:Author>
      <b:Author>
        <b:Corporate>Manterola C., Grande L. , Otzen T., García N., Salazar P., Quiroz G.</b:Corporate>
      </b:Author>
    </b:Author>
    <b:InternetSiteTitle>Confiabilidad, precisión o reproductibilidad de las mediciones. Métodos de valoración, utilidad y aplicaciones en la práctica clínica</b:InternetSiteTitle>
    <b:Year>2018</b:Year>
    <b:URL>https://scielo.conicyt.cl/scielo.php?pid=S0716-10182018000600680&amp;script=sci_arttext&amp;tlng=en</b:URL>
    <b:YearAccessed>2021</b:YearAccessed>
    <b:MonthAccessed>10</b:MonthAccessed>
    <b:DayAccessed>25</b:DayAccessed>
    <b:RefOrder>249</b:RefOrder>
  </b:Source>
  <b:Source>
    <b:Tag>Gut19</b:Tag>
    <b:SourceType>InternetSite</b:SourceType>
    <b:Guid>{217F094E-A97C-40BA-927F-DC775AB45CB3}</b:Guid>
    <b:Author>
      <b:Author>
        <b:Corporate>Gutiérrez M., Hernández R., Jenaro C.</b:Corporate>
      </b:Author>
    </b:Author>
    <b:InternetSiteTitle>Escala de Evaluación de la Inclusión (EEI) para centros y servicios para personas con discapacidad</b:InternetSiteTitle>
    <b:Year>2019</b:Year>
    <b:URL>https://dialnet.unirioja.es/servlet/articulo?codigo=7017827</b:URL>
    <b:YearAccessed>2021</b:YearAccessed>
    <b:MonthAccessed>10</b:MonthAccessed>
    <b:DayAccessed>25</b:DayAccessed>
    <b:RefOrder>250</b:RefOrder>
  </b:Source>
  <b:Source>
    <b:Tag>Các16</b:Tag>
    <b:SourceType>DocumentFromInternetSite</b:SourceType>
    <b:Guid>{57CA7EE7-D3EB-4C87-B7AD-7949D3A2F69F}</b:Guid>
    <b:Author>
      <b:Author>
        <b:Corporate>Rodríguez A., Jara P., Pereira D., Machuca L.</b:Corporate>
      </b:Author>
      <b:Editor>
        <b:NameList>
          <b:Person>
            <b:Last>Cuidarte</b:Last>
            <b:First>Revista</b:First>
          </b:Person>
        </b:NameList>
      </b:Editor>
    </b:Author>
    <b:InternetSiteTitle>Adaptación transcultural y validación de un cuestionario de cuidado humanizado en enfermería para una muestra de población Chilena</b:InternetSiteTitle>
    <b:Year>2018</b:Year>
    <b:URL>http://www.scielo.org.co/pdf/cuid/v9n2/2216-0973-cuid-9-2-2245.pdf</b:URL>
    <b:YearAccessed>2021</b:YearAccessed>
    <b:MonthAccessed>10</b:MonthAccessed>
    <b:DayAccessed>25</b:DayAccessed>
    <b:RefOrder>251</b:RefOrder>
  </b:Source>
  <b:Source>
    <b:Tag>Pas20</b:Tag>
    <b:SourceType>DocumentFromInternetSite</b:SourceType>
    <b:Guid>{108C612A-53C0-4D3A-9CB5-F5994A9E922B}</b:Guid>
    <b:Author>
      <b:Author>
        <b:Corporate>Pastuña R,. Jara P.</b:Corporate>
      </b:Author>
      <b:Editor>
        <b:NameList>
          <b:Person>
            <b:Last>Enfermería Investiga</b:Last>
            <b:First>Investigación,</b:First>
            <b:Middle>Vinculación, Docencia y Gestión</b:Middle>
          </b:Person>
        </b:NameList>
      </b:Editor>
    </b:Author>
    <b:InternetSiteTitle>Búsqueda de la autonomía de enfermería desde la mirada de Virginia Henderson</b:InternetSiteTitle>
    <b:Year>2020</b:Year>
    <b:URL>https://revistas.uta.edu.ec/erevista/index.php/enfi/article/view/975/906</b:URL>
    <b:YearAccessed>2021</b:YearAccessed>
    <b:MonthAccessed>10</b:MonthAccessed>
    <b:DayAccessed>25</b:DayAccessed>
    <b:Month>11</b:Month>
    <b:Publisher>Enfermería Investiga, Investigación, Vinculación, Docencia y Gestión</b:Publisher>
    <b:Day>1</b:Day>
    <b:RefOrder>252</b:RefOrder>
  </b:Source>
  <b:Source>
    <b:Tag>Esp201</b:Tag>
    <b:SourceType>JournalArticle</b:SourceType>
    <b:Guid>{534462C5-98CE-4BB3-A197-F1A2A0AF5137}</b:Guid>
    <b:Title>Guía de Retroalimentación Para los Niveles y Modalidades de la Educación Básica en la Educación a Distancia de la Región Pasco</b:Title>
    <b:Year>2020</b:Year>
    <b:Author>
      <b:Author>
        <b:NameList>
          <b:Person>
            <b:Last>Espinoza</b:Last>
            <b:First>J</b:First>
          </b:Person>
          <b:Person>
            <b:Last>Ramos</b:Last>
            <b:First>H</b:First>
          </b:Person>
          <b:Person>
            <b:Last>Vargas</b:Last>
            <b:First>S</b:First>
          </b:Person>
          <b:Person>
            <b:Last>et al</b:Last>
          </b:Person>
        </b:NameList>
      </b:Author>
    </b:Author>
    <b:JournalName>Dirección Regional de Educación de Pasco/ Dirección de Gestión Pedagógica. Ministerio de Educación del Perú (MINEDU). Obra Colectiva.1ra. Edición. https://drepasco.gob.pe/wp-content/uploads/2020/08/gu%C3%ADa_retroalimentaci%C3%B3n_distancia.pdf</b:JournalName>
    <b:Pages>pp.73</b:Pages>
    <b:RefOrder>253</b:RefOrder>
  </b:Source>
  <b:Source>
    <b:Tag>Ell18</b:Tag>
    <b:SourceType>JournalArticle</b:SourceType>
    <b:Guid>{989298FE-17BA-4976-82BE-DB6F81698E1F}</b:Guid>
    <b:Title>Patterns in the form of formative feedback and student response</b:Title>
    <b:Year>2018</b:Year>
    <b:Author>
      <b:Author>
        <b:NameList>
          <b:Person>
            <b:Last>Ellegaard</b:Last>
            <b:First>M</b:First>
          </b:Person>
          <b:Person>
            <b:Last>Damsgaard</b:Last>
            <b:First>L</b:First>
          </b:Person>
          <b:Person>
            <b:Last>Bruun</b:Last>
            <b:First>J</b:First>
          </b:Person>
          <b:Person>
            <b:Last>Johannse</b:Last>
            <b:First>B</b:First>
          </b:Person>
        </b:NameList>
      </b:Author>
    </b:Author>
    <b:JournalName>Assessment &amp; Evaluation in Higher Education, 43: 5. DOI: 10.1080 / 02602938.2017.1403564 </b:JournalName>
    <b:Pages>pp.727-744 </b:Pages>
    <b:RefOrder>254</b:RefOrder>
  </b:Source>
  <b:Source>
    <b:Tag>Can17</b:Tag>
    <b:SourceType>JournalArticle</b:SourceType>
    <b:Guid>{5C33EBAC-0D46-4C20-B7A1-EBA3793E568B}</b:Guid>
    <b:Title>La Retroalimentación: La Clave para una Evaluación Orientada al Aprendizaje</b:Title>
    <b:JournalName>Revista de Currículum y Formación de Profesorado, 21 (2). https://www.redalyc.org/articulo.oa?id=56752038009</b:JournalName>
    <b:Year>2017</b:Year>
    <b:Pages>pp.149-170</b:Pages>
    <b:Author>
      <b:Author>
        <b:NameList>
          <b:Person>
            <b:Last>Canabal</b:Last>
            <b:First>C</b:First>
          </b:Person>
          <b:Person>
            <b:Last>Margalef</b:Last>
            <b:First>L</b:First>
          </b:Person>
        </b:NameList>
      </b:Author>
    </b:Author>
    <b:RefOrder>255</b:RefOrder>
  </b:Source>
  <b:Source>
    <b:Tag>MarcadorDePosición6</b:Tag>
    <b:SourceType>JournalArticle</b:SourceType>
    <b:Guid>{6B7270A0-4845-4A24-98C0-7C0B5822A148}</b:Guid>
    <b:Title>Concepciones de profesores sobre retroalimentación: una revisión de la literatura</b:Title>
    <b:Year>2017</b:Year>
    <b:Author>
      <b:Author>
        <b:NameList>
          <b:Person>
            <b:Last>Contreras</b:Last>
            <b:First>G</b:First>
          </b:Person>
          <b:Person>
            <b:Last>Zuñiga</b:Last>
            <b:First>C</b:First>
          </b:Person>
        </b:NameList>
      </b:Author>
    </b:Author>
    <b:JournalName>http://repositorio.unab.cl/xmlui/bitstream/handle/ria/4277/ContrerasPerez_G_Concepciones_de_profesores.pdf?sequence=1&amp;isAllowed=y</b:JournalName>
    <b:RefOrder>256</b:RefOrder>
  </b:Source>
  <b:Source>
    <b:Tag>Ram83</b:Tag>
    <b:SourceType>JournalArticle</b:SourceType>
    <b:Guid>{1E071277-CF94-41FB-99D4-27418664E460}</b:Guid>
    <b:Title>On the definition of feedback</b:Title>
    <b:JournalName>Behavioral Science, 28</b:JournalName>
    <b:Year>1983</b:Year>
    <b:Pages>pp.4-13</b:Pages>
    <b:Author>
      <b:Author>
        <b:NameList>
          <b:Person>
            <b:Last>Ramaprasad</b:Last>
            <b:First>A</b:First>
          </b:Person>
        </b:NameList>
      </b:Author>
    </b:Author>
    <b:RefOrder>257</b:RefOrder>
  </b:Source>
  <b:Source>
    <b:Tag>Esp21</b:Tag>
    <b:SourceType>JournalArticle</b:SourceType>
    <b:Guid>{7115BBBB-8F2B-419B-9598-799898B1F195}</b:Guid>
    <b:Title>Importancia de la retroalimentación formativa en el proceso de enseñanza-aprendizaje</b:Title>
    <b:JournalName>Revista Universidad y Sociedad. Vol.13. Nro.4. Cienfuegos, Cuba. http://scielo.sld.cu/scielo.php?script=sci_arttext&amp;pid=S2218-36202021000400389#B4</b:JournalName>
    <b:Year>2021</b:Year>
    <b:Pages>pp.1-18</b:Pages>
    <b:Author>
      <b:Author>
        <b:NameList>
          <b:Person>
            <b:Last>Espinoza</b:Last>
            <b:First>E</b:First>
          </b:Person>
        </b:NameList>
      </b:Author>
    </b:Author>
    <b:RefOrder>258</b:RefOrder>
  </b:Source>
  <b:Source>
    <b:Tag>MIN17</b:Tag>
    <b:SourceType>JournalArticle</b:SourceType>
    <b:Guid>{A2238A38-EEED-452B-948A-E0C361A9D122}</b:Guid>
    <b:Author>
      <b:Author>
        <b:Corporate>MINEDU</b:Corporate>
      </b:Author>
    </b:Author>
    <b:Title>Currículo Nacional de la Educación Básica</b:Title>
    <b:JournalName>Ministerio de Educación (MINEDU).Biblioteca Nacional del Perú</b:JournalName>
    <b:Year>2017</b:Year>
    <b:RefOrder>259</b:RefOrder>
  </b:Source>
  <b:Source>
    <b:Tag>Loz14</b:Tag>
    <b:SourceType>JournalArticle</b:SourceType>
    <b:Guid>{91EAE12C-7394-4039-99C9-1D9985D53652}</b:Guid>
    <b:Title>Retroalimentación formativa para estudiantes de educación a distancia. RIED</b:Title>
    <b:Year>2014</b:Year>
    <b:Author>
      <b:Author>
        <b:NameList>
          <b:Person>
            <b:Last>Lozano</b:Last>
            <b:First>F</b:First>
          </b:Person>
          <b:Person>
            <b:Last>Tamez</b:Last>
            <b:First>A</b:First>
          </b:Person>
        </b:NameList>
      </b:Author>
    </b:Author>
    <b:JournalName>Revista Iberoamericana de Educación a Distancia, 17 (2). https://core.ac.uk/download/pdf/193279131.pdf</b:JournalName>
    <b:Pages>pp. 197-221</b:Pages>
    <b:RefOrder>260</b:RefOrder>
  </b:Source>
  <b:Source>
    <b:Tag>MarcadorDePosición7</b:Tag>
    <b:SourceType>JournalArticle</b:SourceType>
    <b:Guid>{8E7BEB05-706E-408E-B251-2A37A781A49C}</b:Guid>
    <b:Author>
      <b:Author>
        <b:Corporate>MINEDU</b:Corporate>
      </b:Author>
    </b:Author>
    <b:Title>Documento Normativo: Disposiciones para las Instituciones Educativas Públicas de Educación Básica Regular y Educación Básica Alternativa que prestan el servicio educativo a estudiantes matriculados con vacantes semipresenciales. R.V.M. 085-2021- MINEDU</b:Title>
    <b:JournalName>Ministerio de Educación (MINEDU), Lima, Perú. https://cdn.www.gob.pe/uploads/document/file/1749880/RVM%20N%C2%B0%20085-2021-MINEDU.pdf.pdf</b:JournalName>
    <b:Year>2021</b:Year>
    <b:RefOrder>261</b:RefOrder>
  </b:Source>
  <b:Source>
    <b:Tag>MIN20</b:Tag>
    <b:SourceType>JournalArticle</b:SourceType>
    <b:Guid>{004464D4-C140-40FB-9DDA-847D8CCFB64B}</b:Guid>
    <b:Author>
      <b:Author>
        <b:Corporate>MINEDU</b:Corporate>
      </b:Author>
    </b:Author>
    <b:Title>Documento Normativo: Orientaciones para el Desarrollo del Año Escolar 2021 en Instituciones Educativas y Programas Educativos de la Educación Básica. R.V.M. 273-2020-MINEDU. Lima, Perú.</b:Title>
    <b:JournalName>Ministerio de Educación (MINEDU), Lima, Perú.https://cdn.www.gob.pe/uploads/document/file/1486918/RVM%20N%C2%B0%20273-2020-MINEDU.pdf.pdf</b:JournalName>
    <b:Year>2020</b:Year>
    <b:RefOrder>262</b:RefOrder>
  </b:Source>
  <b:Source>
    <b:Tag>OCD181</b:Tag>
    <b:SourceType>JournalArticle</b:SourceType>
    <b:Guid>{D6D0FA89-D546-4CAB-A2A0-C7CFABD54799}</b:Guid>
    <b:Author>
      <b:Author>
        <b:Corporate>OCDE</b:Corporate>
      </b:Author>
    </b:Author>
    <b:Title>What Students Know and Can Do</b:Title>
    <b:JournalName>Organización para la Cooperación y el Desarrollo Económico (OCDE)/ Programa para la Evaluación Internacional de Estudiantes (PISA). Publishing, Paris. Volumen Ihttps://www.oecd-ilibrary.org/education/pisa-2018-results-volume-i_5f07c754-en</b:JournalName>
    <b:Year>2018</b:Year>
    <b:RefOrder>263</b:RefOrder>
  </b:Source>
  <b:Source>
    <b:Tag>Her149</b:Tag>
    <b:SourceType>Book</b:SourceType>
    <b:Guid>{6059C848-3CB1-41B0-8780-6F042CC9A39C}</b:Guid>
    <b:Title>Metodología de la Investigación</b:Title>
    <b:Year>2014</b:Year>
    <b:City>México</b:City>
    <b:Publisher>McGraw-Hill</b:Publisher>
    <b:Author>
      <b:Author>
        <b:NameList>
          <b:Person>
            <b:Last>Hernández</b:Last>
            <b:First>R</b:First>
          </b:Person>
          <b:Person>
            <b:Last>Fernández</b:Last>
            <b:First>C</b:First>
          </b:Person>
          <b:Person>
            <b:Last>Baptista</b:Last>
            <b:First>P</b:First>
          </b:Person>
        </b:NameList>
      </b:Author>
    </b:Author>
    <b:RefOrder>264</b:RefOrder>
  </b:Source>
  <b:Source>
    <b:Tag>Arg16</b:Tag>
    <b:SourceType>JournalArticle</b:SourceType>
    <b:Guid>{1CD37F80-F1C8-48DB-88CC-3F8CF6823BD5}</b:Guid>
    <b:Author>
      <b:Author>
        <b:NameList>
          <b:Person>
            <b:Last>Argibay</b:Last>
            <b:First>J.</b:First>
          </b:Person>
        </b:NameList>
      </b:Author>
    </b:Author>
    <b:Title>The sample in quantitative research</b:Title>
    <b:JournalName>Subjetividad y procesos cognitivos</b:JournalName>
    <b:Year>2016</b:Year>
    <b:Pages>pp.13-29</b:Pages>
    <b:RefOrder>265</b:RefOrder>
  </b:Source>
  <b:Source>
    <b:Tag>MarcadorDePosición8</b:Tag>
    <b:SourceType>Book</b:SourceType>
    <b:Guid>{6A54A817-594D-4338-8F01-3169F635B293}</b:Guid>
    <b:Title>Metodología de la Investigación</b:Title>
    <b:Year>2017</b:Year>
    <b:Author>
      <b:Author>
        <b:NameList>
          <b:Person>
            <b:Last>Baena</b:Last>
            <b:First>G.</b:First>
          </b:Person>
        </b:NameList>
      </b:Author>
    </b:Author>
    <b:City>México</b:City>
    <b:Publisher>PATRIA</b:Publisher>
    <b:RefOrder>266</b:RefOrder>
  </b:Source>
  <b:Source>
    <b:Tag>Gal17</b:Tag>
    <b:SourceType>Misc</b:SourceType>
    <b:Guid>{0EE98A6B-B646-40BB-AA3D-09D2E8B80DA0}</b:Guid>
    <b:Author>
      <b:Author>
        <b:NameList>
          <b:Person>
            <b:Last>Gallardo</b:Last>
            <b:First>E.</b:First>
          </b:Person>
        </b:NameList>
      </b:Author>
    </b:Author>
    <b:Title>Metodología de la investigación</b:Title>
    <b:Year>2017</b:Year>
    <b:City>Huancayo</b:City>
    <b:Publisher>CONTINENTAL</b:Publisher>
    <b:PublicationTitle>Universidad Continental</b:PublicationTitle>
    <b:Month>julio</b:Month>
    <b:Day>15</b:Day>
    <b:StateProvince>Junín</b:StateProvince>
    <b:CountryRegion>Perú </b:CountryRegion>
    <b:RefOrder>267</b:RefOrder>
  </b:Source>
  <b:Source>
    <b:Tag>Esc082</b:Tag>
    <b:SourceType>JournalArticle</b:SourceType>
    <b:Guid>{5424516F-B6BA-4FD6-82F9-078EE12661C8}</b:Guid>
    <b:Title>Validez de Contenido y Juicio de Expertos: Una Aproximación a su Utilización</b:Title>
    <b:JournalName>Avances en medición, 6</b:JournalName>
    <b:Year>2008</b:Year>
    <b:Pages>pp.27-36</b:Pages>
    <b:Author>
      <b:Author>
        <b:NameList>
          <b:Person>
            <b:Last>Escobar</b:Last>
            <b:First>J</b:First>
          </b:Person>
          <b:Person>
            <b:Last>Cuervo</b:Last>
            <b:First>A</b:First>
          </b:Person>
        </b:NameList>
      </b:Author>
    </b:Author>
    <b:RefOrder>268</b:RefOrder>
  </b:Source>
  <b:Source>
    <b:Tag>Tam12</b:Tag>
    <b:SourceType>Book</b:SourceType>
    <b:Guid>{7560B5C6-0E70-45E3-9D0D-F805B19483CE}</b:Guid>
    <b:Title>El proceso de la investigación científica</b:Title>
    <b:Year>2012</b:Year>
    <b:City>México D.F.</b:City>
    <b:Publisher>LIMUSA</b:Publisher>
    <b:Author>
      <b:Author>
        <b:NameList>
          <b:Person>
            <b:Last>Tamayo</b:Last>
            <b:First>M.</b:First>
          </b:Person>
        </b:NameList>
      </b:Author>
    </b:Author>
    <b:RefOrder>269</b:RefOrder>
  </b:Source>
  <b:Source>
    <b:Tag>Lan10</b:Tag>
    <b:SourceType>Book</b:SourceType>
    <b:Guid>{912407CD-D565-494F-A939-4DD8AC4E2672}</b:Guid>
    <b:Author>
      <b:Author>
        <b:NameList>
          <b:Person>
            <b:Last>Landeau</b:Last>
            <b:First>R.</b:First>
          </b:Person>
        </b:NameList>
      </b:Author>
    </b:Author>
    <b:Title>Elaboración de trabajos de investigación</b:Title>
    <b:Year>2010</b:Year>
    <b:City>Caracas</b:City>
    <b:Publisher>ALFA</b:Publisher>
    <b:RefOrder>270</b:RefOrder>
  </b:Source>
  <b:Source>
    <b:Tag>Con19</b:Tag>
    <b:SourceType>JournalArticle</b:SourceType>
    <b:Guid>{2B2016A2-1496-4A88-A438-7CBEC4A71BE7}</b:Guid>
    <b:Title>Feedback practices and conceptions in Initial Teacher Training.</b:Title>
    <b:Year>2019</b:Year>
    <b:Author>
      <b:Author>
        <b:NameList>
          <b:Person>
            <b:Last>Contreras</b:Last>
            <b:First>C.</b:First>
          </b:Person>
          <b:Person>
            <b:Last>Zúñiga</b:Last>
            <b:First>C.</b:First>
          </b:Person>
        </b:NameList>
      </b:Author>
    </b:Author>
    <b:JournalName>Revista Scientific Electronic Library Online. </b:JournalName>
    <b:RefOrder>271</b:RefOrder>
  </b:Source>
  <b:Source>
    <b:Tag>Shu08</b:Tag>
    <b:SourceType>JournalArticle</b:SourceType>
    <b:Guid>{A06B996C-8DC8-40AE-8134-67BBC3A0AC67}</b:Guid>
    <b:Title> Focus on Formative Feedback.  78(1),</b:Title>
    <b:JournalName>Review of Educational Research,</b:JournalName>
    <b:Year>2008</b:Year>
    <b:Pages> 153-189.</b:Pages>
    <b:Author>
      <b:Author>
        <b:NameList>
          <b:Person>
            <b:Last>Shute</b:Last>
            <b:First>V.</b:First>
          </b:Person>
        </b:NameList>
      </b:Author>
    </b:Author>
    <b:Comments> DOI: 10.3102/0034654307313795</b:Comments>
    <b:RefOrder>272</b:RefOrder>
  </b:Source>
  <b:Source>
    <b:Tag>Cav19</b:Tag>
    <b:SourceType>Report</b:SourceType>
    <b:Guid>{C3A1EE89-B20F-46CE-A7C8-324A7F71CB94}</b:Guid>
    <b:Title>Retroalimentación Formativa a Estudiantes en Práctica Pedagógica.</b:Title>
    <b:Year>2019</b:Year>
    <b:Publisher>(Tesis posgrado, Universidad Viña del Mar).</b:Publisher>
    <b:Author>
      <b:Author>
        <b:NameList>
          <b:Person>
            <b:Last>Caviedes</b:Last>
            <b:First>V.</b:First>
          </b:Person>
        </b:NameList>
      </b:Author>
    </b:Author>
    <b:RefOrder>273</b:RefOrder>
  </b:Source>
  <b:Source>
    <b:Tag>Dam18</b:Tag>
    <b:SourceType>JournalArticle</b:SourceType>
    <b:Guid>{EB34A9D3-C718-4852-9DFA-EA26DDCF75D4}</b:Guid>
    <b:Title>Patterns in the form of formative feedback and student response</b:Title>
    <b:Year>2018</b:Year>
    <b:Pages> 727-744</b:Pages>
    <b:Comments>DOI: 10.1080 / 02602938.2017.1403564</b:Comments>
    <b:Author>
      <b:Author>
        <b:Corporate>  Damsgaard, L.;  Bruun, J. ;  Johannsen, B. ; Ellegaard, M. </b:Corporate>
      </b:Author>
    </b:Author>
    <b:JournalName>Assessment &amp; Evaluation in Higher Education</b:JournalName>
    <b:RefOrder>274</b:RefOrder>
  </b:Source>
  <b:Source>
    <b:Tag>Ale20</b:Tag>
    <b:SourceType>JournalArticle</b:SourceType>
    <b:Guid>{47C3F0DE-5D93-456C-91B9-406E692ABD6B}</b:Guid>
    <b:Title>Retroalimentación y evaluación formativa en los estudiantes de la Institución Educativa 0115</b:Title>
    <b:JournalName>Tesis posgrado Universidad César Vallejo</b:JournalName>
    <b:Year>2020</b:Year>
    <b:Author>
      <b:Author>
        <b:NameList>
          <b:Person>
            <b:Last>Alegría</b:Last>
            <b:First>C.</b:First>
          </b:Person>
        </b:NameList>
      </b:Author>
    </b:Author>
    <b:City>Tarapoto 2020</b:City>
    <b:StandardNumber>Repositorio https://repositorio.ucv.edu.pe/discover</b:StandardNumber>
    <b:RefOrder>275</b:RefOrder>
  </b:Source>
  <b:Source>
    <b:Tag>Eld19</b:Tag>
    <b:SourceType>DocumentFromInternetSite</b:SourceType>
    <b:Guid>{3D6C49B6-37C7-4031-B700-966A329F20E6}</b:Guid>
    <b:Title>Los hábitos lectores en educación secundaria y bachillerato</b:Title>
    <b:InternetSiteTitle>Repositorio Institucional Universidad de la Laguna</b:InternetSiteTitle>
    <b:Year>2019</b:Year>
    <b:URL>https://riull.ull.es/xmlui/bitstream/handle/915/16990/Los%20habitos%20lectores%20en%20Educacion%20Secundaria%20y%20Bachillerato.pdf?sequence=1</b:URL>
    <b:Author>
      <b:Author>
        <b:NameList>
          <b:Person>
            <b:Last>Elduayen</b:Last>
            <b:First>Soldevilla</b:First>
          </b:Person>
        </b:NameList>
      </b:Author>
    </b:Author>
    <b:YearAccessed>2021</b:YearAccessed>
    <b:MonthAccessed>septiembre</b:MonthAccessed>
    <b:DayAccessed>5</b:DayAccessed>
    <b:RefOrder>276</b:RefOrder>
  </b:Source>
  <b:Source>
    <b:Tag>INE212</b:Tag>
    <b:SourceType>DocumentFromInternetSite</b:SourceType>
    <b:Guid>{4D0A25E3-4C51-4936-ADF9-7903D1D1AABF}</b:Guid>
    <b:Author>
      <b:Author>
        <b:Corporate>INEC</b:Corporate>
      </b:Author>
    </b:Author>
    <b:Title>Hábitos de lectura en Ecuador</b:Title>
    <b:InternetSiteTitle>Cámara Ecuatoriana del Libro</b:InternetSiteTitle>
    <b:URL>https://www.celibro.org.ec/web/img/cms/ESTUDIO%20HABITOS%20DE%20LECTURA%20INEC.pdf</b:URL>
    <b:YearAccessed>2021</b:YearAccessed>
    <b:MonthAccessed>agosto</b:MonthAccessed>
    <b:DayAccessed>23</b:DayAccessed>
    <b:Year>2012</b:Year>
    <b:RefOrder>277</b:RefOrder>
  </b:Source>
  <b:Source>
    <b:Tag>Red201</b:Tag>
    <b:SourceType>DocumentFromInternetSite</b:SourceType>
    <b:Guid>{421121D2-8250-4C66-B2D1-04B9325A13C0}</b:Guid>
    <b:Author>
      <b:Author>
        <b:Corporate>REDUCA</b:Corporate>
      </b:Author>
    </b:Author>
    <b:Title>Situación educacional en Ecuador: una mirada desde los principales indicadores educativos</b:Title>
    <b:InternetSiteTitle>Red Latinoamericana por la Educación</b:InternetSiteTitle>
    <b:Year>2020</b:Year>
    <b:URL>www.educacion2020.cl/sites/default/files/informe_reduca_ecuador.pdf</b:URL>
    <b:YearAccessed>2021</b:YearAccessed>
    <b:MonthAccessed>septiembre</b:MonthAccessed>
    <b:DayAccessed>7</b:DayAccessed>
    <b:RefOrder>278</b:RefOrder>
  </b:Source>
  <b:Source>
    <b:Tag>Ins182</b:Tag>
    <b:SourceType>DocumentFromInternetSite</b:SourceType>
    <b:Guid>{FEDFC3F1-B143-408A-8131-F4090EB79FBF}</b:Guid>
    <b:Author>
      <b:Author>
        <b:Corporate>INEVAL</b:Corporate>
      </b:Author>
    </b:Author>
    <b:Title>La educación en Ecuador: logros alcanzados y nuevos desafíos</b:Title>
    <b:InternetSiteTitle>Instituto Nacional de Evaluación Educativa</b:InternetSiteTitle>
    <b:Year>2018</b:Year>
    <b:URL>www.evaluacion.gob.ec/wp-content/uploads/downloads/2019/02/CIE_ResultadosEducativos18_20190109.pdf</b:URL>
    <b:YearAccessed>2021</b:YearAccessed>
    <b:MonthAccessed>septiembre</b:MonthAccessed>
    <b:DayAccessed>7</b:DayAccessed>
    <b:RefOrder>279</b:RefOrder>
  </b:Source>
  <b:Source>
    <b:Tag>Car191</b:Tag>
    <b:SourceType>JournalArticle</b:SourceType>
    <b:Guid>{378BDED3-E9BA-4F11-8E1F-8A483CAF6518}</b:Guid>
    <b:Author>
      <b:Author>
        <b:NameList>
          <b:Person>
            <b:Last>Carpio</b:Last>
            <b:First>María</b:First>
            <b:Middle>de los Ángeles</b:Middle>
          </b:Person>
        </b:NameList>
      </b:Author>
    </b:Author>
    <b:Title>Desarrollo de la lectura comprensiva en el programa de estudio de español de primer ciclo: un análisis desde el enfoque psicolingüístico</b:Title>
    <b:JournalName>Revista Electrónica Leer, Escribir y Descubrir</b:JournalName>
    <b:Year>2019</b:Year>
    <b:Pages>1-12</b:Pages>
    <b:Volume>1</b:Volume>
    <b:Issue>4</b:Issue>
    <b:YearAccessed>2021</b:YearAccessed>
    <b:MonthAccessed>agosto</b:MonthAccessed>
    <b:DayAccessed>25</b:DayAccessed>
    <b:URL>https://digitalcommons.fiu.edu/cgi/viewcontent.cgi?article=1020&amp;context=led</b:URL>
    <b:RefOrder>280</b:RefOrder>
  </b:Source>
  <b:Source>
    <b:Tag>Ora18</b:Tag>
    <b:SourceType>JournalArticle</b:SourceType>
    <b:Guid>{A407A0A8-FD7C-41B8-8C95-08647F248C52}</b:Guid>
    <b:Author>
      <b:Author>
        <b:NameList>
          <b:Person>
            <b:Last>Oramas</b:Last>
            <b:First>Manuel</b:First>
          </b:Person>
          <b:Person>
            <b:Last>García</b:Last>
            <b:First>Ángela</b:First>
          </b:Person>
        </b:NameList>
      </b:Author>
    </b:Author>
    <b:Title>Estudio de Disponibilidad Léxica en estudiantes de bachillerato de las ciudades de Matanzas y Morelia</b:Title>
    <b:JournalName>Atenas</b:JournalName>
    <b:Year>2018</b:Year>
    <b:Pages>17-31</b:Pages>
    <b:Volume>2</b:Volume>
    <b:Issue>42</b:Issue>
    <b:YearAccessed>2021</b:YearAccessed>
    <b:MonthAccessed>agosto</b:MonthAccessed>
    <b:DayAccessed>25</b:DayAccessed>
    <b:URL>https://www.redalyc.org/journal/4780/478055152002/html/</b:URL>
    <b:RefOrder>281</b:RefOrder>
  </b:Source>
  <b:Source>
    <b:Tag>Riv</b:Tag>
    <b:SourceType>JournalArticle</b:SourceType>
    <b:Guid>{6A993B94-2D8C-48CA-918C-8008A2569AFB}</b:Guid>
    <b:Title>Metodología para el desarrollo de la comprensión lectora en el proceso enseñanza-aprendizaje</b:Title>
    <b:Author>
      <b:Author>
        <b:NameList>
          <b:Person>
            <b:Last>Rivas</b:Last>
            <b:First>Limberg</b:First>
          </b:Person>
        </b:NameList>
      </b:Author>
    </b:Author>
    <b:JournalName>Dominio de las Ciencias</b:JournalName>
    <b:Year>2015</b:Year>
    <b:Pages>47-61</b:Pages>
    <b:Volume>1</b:Volume>
    <b:Issue>1</b:Issue>
    <b:YearAccessed>2021</b:YearAccessed>
    <b:MonthAccessed>agosto</b:MonthAccessed>
    <b:DayAccessed>27</b:DayAccessed>
    <b:URL>https://dialnet.unirioja.es/descarga/articulo/5761664.pdf</b:URL>
    <b:RefOrder>282</b:RefOrder>
  </b:Source>
  <b:Source>
    <b:Tag>Llu17</b:Tag>
    <b:SourceType>JournalArticle</b:SourceType>
    <b:Guid>{EBE89589-33F3-401A-B3FB-A2188C688D8B}</b:Guid>
    <b:Author>
      <b:Author>
        <b:NameList>
          <b:Person>
            <b:Last>Lluch</b:Last>
            <b:First>Gemma</b:First>
          </b:Person>
          <b:Person>
            <b:Last>Sánchez García</b:Last>
            <b:First>Sandra</b:First>
          </b:Person>
        </b:NameList>
      </b:Author>
    </b:Author>
    <b:Title>La Promoción de la Lectura: Un Análisis Crítico  de  los Artículos  de Investigación</b:Title>
    <b:JournalName>Research Studies</b:JournalName>
    <b:Year>2017</b:Year>
    <b:Volume>40</b:Volume>
    <b:Issue>4</b:Issue>
    <b:DOI>http://dx.doi.org/10.3989/redc.2017.4.1450</b:DOI>
    <b:RefOrder>283</b:RefOrder>
  </b:Source>
  <b:Source>
    <b:Tag>Cad20</b:Tag>
    <b:SourceType>JournalArticle</b:SourceType>
    <b:Guid>{85250A9D-1DC4-44CE-B3BC-6C29F41F2773}</b:Guid>
    <b:Author>
      <b:Author>
        <b:NameList>
          <b:Person>
            <b:Last>Cadme</b:Last>
            <b:First>Tránsito</b:First>
          </b:Person>
          <b:Person>
            <b:Last>García</b:Last>
            <b:First>Darwin</b:First>
          </b:Person>
          <b:Person>
            <b:Last>Cárdenas</b:Last>
            <b:First>Nancy</b:First>
          </b:Person>
          <b:Person>
            <b:Last>Erazo</b:Last>
            <b:First>Juan</b:First>
          </b:Person>
        </b:NameList>
      </b:Author>
    </b:Author>
    <b:Title>Comprensión lectora e innovación educativa: estrategias para mejorar la lectoescritura en los jóvenes del bachillerato</b:Title>
    <b:JournalName>Revista Interdisciplinaria de Humanidades, Educación, Ciencia y Tecnología</b:JournalName>
    <b:Year>2020</b:Year>
    <b:Pages>337 - 363</b:Pages>
    <b:Volume>6</b:Volume>
    <b:Issue>1</b:Issue>
    <b:DOI>10.35381/cm.v6i1.337</b:DOI>
    <b:RefOrder>284</b:RefOrder>
  </b:Source>
  <b:Source>
    <b:Tag>Bar202</b:Tag>
    <b:SourceType>JournalArticle</b:SourceType>
    <b:Guid>{7B254472-37A1-446E-BA02-ABE6D46651A1}</b:Guid>
    <b:Author>
      <b:Author>
        <b:NameList>
          <b:Person>
            <b:Last>Barzola</b:Last>
            <b:First>Virginia</b:First>
          </b:Person>
          <b:Person>
            <b:Last>Bolívar</b:Last>
            <b:First>Oscar</b:First>
          </b:Person>
          <b:Person>
            <b:Last>Navarrete</b:Last>
            <b:First>Yulexy</b:First>
          </b:Person>
        </b:NameList>
      </b:Author>
    </b:Author>
    <b:Title>Incidencia de la comprensión lectora en las aptitudes investigativas de los estudiantes de educación superior</b:Title>
    <b:JournalName>Educación Médica Superior</b:JournalName>
    <b:Year>2020</b:Year>
    <b:Pages>1-17</b:Pages>
    <b:Volume>34</b:Volume>
    <b:Issue>4</b:Issue>
    <b:YearAccessed>2021</b:YearAccessed>
    <b:MonthAccessed>agosto</b:MonthAccessed>
    <b:DayAccessed>27</b:DayAccessed>
    <b:URL>http://scielo.sld.cu/pdf/ems/v34n4/1561-2902-ems-34-04-e2520.pdf</b:URL>
    <b:RefOrder>285</b:RefOrder>
  </b:Source>
  <b:Source>
    <b:Tag>Ros16</b:Tag>
    <b:SourceType>JournalArticle</b:SourceType>
    <b:Guid>{F874427A-AF09-4569-9ED5-B7B50389BB83}</b:Guid>
    <b:Author>
      <b:Author>
        <b:NameList>
          <b:Person>
            <b:Last>Rosales</b:Last>
            <b:First>Mariely</b:First>
            <b:Middle>del Valle</b:Middle>
          </b:Person>
        </b:NameList>
      </b:Author>
    </b:Author>
    <b:Title>El acto de leer: una experiencia en Educación Primaria</b:Title>
    <b:JournalName>Educere</b:JournalName>
    <b:Year>2016</b:Year>
    <b:Pages>91-98</b:Pages>
    <b:Volume>20</b:Volume>
    <b:Issue>65</b:Issue>
    <b:YearAccessed>2021</b:YearAccessed>
    <b:MonthAccessed>agosto</b:MonthAccessed>
    <b:DayAccessed>29</b:DayAccessed>
    <b:URL>https://www.redalyc.org/pdf/356/35646429010.pdf</b:URL>
    <b:RefOrder>286</b:RefOrder>
  </b:Source>
  <b:Source>
    <b:Tag>Riv21</b:Tag>
    <b:SourceType>JournalArticle</b:SourceType>
    <b:Guid>{2A1D9C26-7813-4CA1-9D76-26004A6B7605}</b:Guid>
    <b:Author>
      <b:Author>
        <b:NameList>
          <b:Person>
            <b:Last>Rivadeneira</b:Last>
            <b:First>Luisana</b:First>
          </b:Person>
          <b:Person>
            <b:Last>Cárdenas</b:Last>
            <b:First>Nancy</b:First>
          </b:Person>
        </b:NameList>
      </b:Author>
    </b:Author>
    <b:Title>Intralíneas como estrategia metodológica para desarrollar la comprensión lectora en el bachillerato técnico</b:Title>
    <b:JournalName>KOINONÍA</b:JournalName>
    <b:Year>2021</b:Year>
    <b:Pages>422-443</b:Pages>
    <b:Volume>6</b:Volume>
    <b:Issue>3</b:Issue>
    <b:DOI>dx.doi.org/10.35381/r.k.v6i3.1320</b:DOI>
    <b:RefOrder>287</b:RefOrder>
  </b:Source>
  <b:Source>
    <b:Tag>Pan20</b:Tag>
    <b:SourceType>JournalArticle</b:SourceType>
    <b:Guid>{0416BF6A-F20F-4934-B45F-D76F0165DB86}</b:Guid>
    <b:Author>
      <b:Author>
        <b:NameList>
          <b:Person>
            <b:Last>Pantoja</b:Last>
            <b:First>Miriam</b:First>
          </b:Person>
          <b:Person>
            <b:Last>Lucero</b:Last>
            <b:First>Nelson</b:First>
          </b:Person>
          <b:Person>
            <b:Last>Arciniegas</b:Last>
            <b:First>Olga</b:First>
          </b:Person>
          <b:Person>
            <b:Last>Enriquez</b:Last>
            <b:First>Jenny</b:First>
          </b:Person>
        </b:NameList>
      </b:Author>
    </b:Author>
    <b:Title>Hábitos de lectura en la juventud: un desafío para los docentes ecuatorianos</b:Title>
    <b:JournalName>Dilemas Contemporáneos</b:JournalName>
    <b:Year>2020</b:Year>
    <b:Pages>1-14</b:Pages>
    <b:Volume>7</b:Volume>
    <b:Issue>1</b:Issue>
    <b:YearAccessed>2021</b:YearAccessed>
    <b:MonthAccessed>agosto</b:MonthAccessed>
    <b:DayAccessed>31</b:DayAccessed>
    <b:URL>https://www.dilemascontemporaneoseducacionpoliticayvalores.com/index.php/dilemas/article/view/2092</b:URL>
    <b:RefOrder>288</b:RefOrder>
  </b:Source>
  <b:Source>
    <b:Tag>Zev17</b:Tag>
    <b:SourceType>JournalArticle</b:SourceType>
    <b:Guid>{86B0D66F-2881-4B56-80FE-89EC221C1CD9}</b:Guid>
    <b:Author>
      <b:Author>
        <b:NameList>
          <b:Person>
            <b:Last>Zevallos</b:Last>
            <b:First>Diana</b:First>
          </b:Person>
          <b:Person>
            <b:Last>Ripoll</b:Last>
            <b:First>Juan</b:First>
          </b:Person>
        </b:NameList>
      </b:Author>
    </b:Author>
    <b:Title>La concepción simple de la lectura en alumnos de 4º de primaria de una escuela fiscal de Quito</b:Title>
    <b:JournalName>Alteridad</b:JournalName>
    <b:Year>2017</b:Year>
    <b:Pages>115-122</b:Pages>
    <b:Volume>12</b:Volume>
    <b:Issue>1</b:Issue>
    <b:DOI>https://doi.org/10.17163/alt.v12n1.2017.10</b:DOI>
    <b:RefOrder>289</b:RefOrder>
  </b:Source>
  <b:Source>
    <b:Tag>Cub17</b:Tag>
    <b:SourceType>JournalArticle</b:SourceType>
    <b:Guid>{A4B24370-7794-4D24-8B36-A572075A2F80}</b:Guid>
    <b:Author>
      <b:Author>
        <b:NameList>
          <b:Person>
            <b:Last>Cubides</b:Last>
            <b:First>Claudia</b:First>
          </b:Person>
          <b:Person>
            <b:Last>Rojas</b:Last>
            <b:First>Marianela</b:First>
          </b:Person>
          <b:Person>
            <b:Last>Cárdenas</b:Last>
            <b:First>Ruth</b:First>
          </b:Person>
        </b:NameList>
      </b:Author>
    </b:Author>
    <b:Title>Lectura Crítica. Definiciones, experiencias y posibilidades</b:Title>
    <b:JournalName>Saber, Ciencia y Libertad</b:JournalName>
    <b:Year>2017</b:Year>
    <b:Pages>184-197</b:Pages>
    <b:Volume>12</b:Volume>
    <b:Issue>2</b:Issue>
    <b:DOI>doi.org/10.18041/2382-3240/saber.2017v12n2.1586</b:DOI>
    <b:RefOrder>290</b:RefOrder>
  </b:Source>
  <b:Source>
    <b:Tag>Ari18</b:Tag>
    <b:SourceType>JournalArticle</b:SourceType>
    <b:Guid>{2356E41C-0DEB-4C8B-8101-C4CB6E46A041}</b:Guid>
    <b:Author>
      <b:Author>
        <b:NameList>
          <b:Person>
            <b:Last>Arias</b:Last>
            <b:First>Gloria</b:First>
          </b:Person>
        </b:NameList>
      </b:Author>
    </b:Author>
    <b:Title>La lectura crítica como estrategia para el desarrollo del pensamiento lógico</b:Title>
    <b:JournalName>Boletín Virtual</b:JournalName>
    <b:Year>2018</b:Year>
    <b:Pages>86-94</b:Pages>
    <b:Volume>7</b:Volume>
    <b:Issue>1</b:Issue>
    <b:YearAccessed>2021</b:YearAccessed>
    <b:MonthAccessed>agosto</b:MonthAccessed>
    <b:DayAccessed>27</b:DayAccessed>
    <b:URL>https://revista.redipe.org/index.php/1/article/view/419/416</b:URL>
    <b:RefOrder>291</b:RefOrder>
  </b:Source>
  <b:Source>
    <b:Tag>Men20</b:Tag>
    <b:SourceType>JournalArticle</b:SourceType>
    <b:Guid>{A4D54DEA-1312-42B1-BBBE-D296CADE2E29}</b:Guid>
    <b:Author>
      <b:Author>
        <b:NameList>
          <b:Person>
            <b:Last>Mendoza</b:Last>
            <b:First>Derling</b:First>
          </b:Person>
          <b:Person>
            <b:Last>Flores</b:Last>
            <b:First>Elizeth</b:First>
          </b:Person>
          <b:Person>
            <b:Last>Revilla</b:Last>
            <b:First>Lorena</b:First>
          </b:Person>
          <b:Person>
            <b:Last>Cejas</b:Last>
            <b:First>Magda</b:First>
          </b:Person>
          <b:Person>
            <b:Last>Navarro</b:Last>
            <b:First>Mercedes</b:First>
          </b:Person>
        </b:NameList>
      </b:Author>
    </b:Author>
    <b:Title>Práctica pedagógica ecuatoriana en el siglo XXI</b:Title>
    <b:JournalName>EDETANIA</b:JournalName>
    <b:Year>2020</b:Year>
    <b:Pages>111-141</b:Pages>
    <b:Issue>57</b:Issue>
    <b:YearAccessed>2021</b:YearAccessed>
    <b:MonthAccessed>septiembre</b:MonthAccessed>
    <b:DayAccessed>5</b:DayAccessed>
    <b:URL>https://dialnet.unirioja.es/servlet/articulo?codigo=7518847</b:URL>
    <b:RefOrder>292</b:RefOrder>
  </b:Source>
  <b:Source>
    <b:Tag>MarcadorDePosición9</b:Tag>
    <b:SourceType>JournalArticle</b:SourceType>
    <b:Guid>{EF3F251D-2EF8-4C31-B54D-59D2089DEC08}</b:Guid>
    <b:Author>
      <b:Author>
        <b:NameList>
          <b:Person>
            <b:Last>Montesdeoca</b:Last>
            <b:First>Deborah</b:First>
          </b:Person>
          <b:Person>
            <b:Last>Gómez</b:Last>
            <b:First>María</b:First>
          </b:Person>
          <b:Person>
            <b:Last>Espejo</b:Last>
            <b:First>Roberto</b:First>
          </b:Person>
        </b:NameList>
      </b:Author>
    </b:Author>
    <b:Title>Estrategias didácticas para la comprensión lectora aplicadas y percibidas: un estudio con docentes y alumnos en el cuarto grado de educación básica</b:Title>
    <b:JournalName>Investigaciones sobre Lectura</b:JournalName>
    <b:Year>2020</b:Year>
    <b:Pages>149 - 164</b:Pages>
    <b:Issue>14</b:Issue>
    <b:DOI>10.37132/isl.v0i14.321</b:DOI>
    <b:RefOrder>293</b:RefOrder>
  </b:Source>
  <b:Source>
    <b:Tag>Can20</b:Tag>
    <b:SourceType>JournalArticle</b:SourceType>
    <b:Guid>{ED30A98D-8E9D-4133-92DB-F410D555D5E0}</b:Guid>
    <b:Author>
      <b:Author>
        <b:NameList>
          <b:Person>
            <b:Last>Cantos</b:Last>
            <b:First>Gema</b:First>
          </b:Person>
          <b:Person>
            <b:Last>Mero</b:Last>
            <b:First>Fátima</b:First>
          </b:Person>
          <b:Person>
            <b:Last>Vinces</b:Last>
            <b:First>Vilma</b:First>
          </b:Person>
        </b:NameList>
      </b:Author>
    </b:Author>
    <b:Title>La comunicación educativa en el aula: una experiencia desde la práctica docente en el bachillerato</b:Title>
    <b:JournalName>Luz</b:JournalName>
    <b:Year>2020</b:Year>
    <b:Pages>102-112</b:Pages>
    <b:Volume>19</b:Volume>
    <b:Issue>2</b:Issue>
    <b:YearAccessed>2021</b:YearAccessed>
    <b:MonthAccessed>agosto</b:MonthAccessed>
    <b:DayAccessed>30</b:DayAccessed>
    <b:URL>https://luz.uho.edu.cu/index.php/luz/article/view/1039</b:URL>
    <b:RefOrder>294</b:RefOrder>
  </b:Source>
  <b:Source>
    <b:Tag>Bon20</b:Tag>
    <b:SourceType>JournalArticle</b:SourceType>
    <b:Guid>{C6ACF23F-4267-43B6-B151-3314D0DD4370}</b:Guid>
    <b:Author>
      <b:Author>
        <b:NameList>
          <b:Person>
            <b:Last>Bonilla</b:Last>
            <b:First>Johanna</b:First>
          </b:Person>
        </b:NameList>
      </b:Author>
    </b:Author>
    <b:Title>Las dos caras de la educación en el COVID-19</b:Title>
    <b:JournalName>CienciAmérica</b:JournalName>
    <b:Year>2020</b:Year>
    <b:Pages>1-10</b:Pages>
    <b:Volume>9</b:Volume>
    <b:Issue>2</b:Issue>
    <b:DOI>dx.doi.org/10.33210/ca.v9i2.294</b:DOI>
    <b:RefOrder>295</b:RefOrder>
  </b:Source>
  <b:Source>
    <b:Tag>Nav21</b:Tag>
    <b:SourceType>JournalArticle</b:SourceType>
    <b:Guid>{0D520BB3-E485-41C3-8D52-1754C74702CA}</b:Guid>
    <b:Title>Estrategias de motivación a la lectura digital en tiempos de emergencia sanitaria. Caso: Carrera de Bibliotecología, documentación y archivos de la UTM</b:Title>
    <b:JournalName>Revista de Ciencias Humanísticas y Sociales</b:JournalName>
    <b:Year>2021</b:Year>
    <b:Pages>103-110</b:Pages>
    <b:Author>
      <b:Author>
        <b:NameList>
          <b:Person>
            <b:Last>Navarrete</b:Last>
            <b:First>Mariuxi</b:First>
          </b:Person>
        </b:NameList>
      </b:Author>
    </b:Author>
    <b:Volume>6</b:Volume>
    <b:Issue>1</b:Issue>
    <b:DOI> https://doi.org/10.33936/rehuso.v6i1.2988</b:DOI>
    <b:RefOrder>296</b:RefOrder>
  </b:Source>
  <b:Source>
    <b:Tag>Far161</b:Tag>
    <b:SourceType>JournalArticle</b:SourceType>
    <b:Guid>{378A31FC-0C21-482D-B809-5311D00DEDD4}</b:Guid>
    <b:Author>
      <b:Author>
        <b:NameList>
          <b:Person>
            <b:Last>Farrach</b:Last>
            <b:First>Graciela</b:First>
          </b:Person>
        </b:NameList>
      </b:Author>
    </b:Author>
    <b:Title>Estrategias metodológicas para fomentar la comprensión lectora</b:Title>
    <b:JournalName>Revista Científica de FAREM-Estelí. Medio ambiente, tecnología y desarrollo humano</b:JournalName>
    <b:Year>2016</b:Year>
    <b:Pages>5-19</b:Pages>
    <b:Issue>20</b:Issue>
    <b:YearAccessed>2021</b:YearAccessed>
    <b:MonthAccessed>agosto </b:MonthAccessed>
    <b:DayAccessed>31</b:DayAccessed>
    <b:URL>https://repositorio.unan.edu.ni/6262/6/285-1028-1-PB.pdf</b:URL>
    <b:RefOrder>297</b:RefOrder>
  </b:Source>
  <b:Source>
    <b:Tag>Asa14</b:Tag>
    <b:SourceType>Book</b:SourceType>
    <b:Guid>{57F6773B-3B0E-4369-A54A-2E09D8AFAB5B}</b:Guid>
    <b:Author>
      <b:Author>
        <b:Corporate>Asamblea Nacional del Ecuador</b:Corporate>
      </b:Author>
    </b:Author>
    <b:Title>Código Orgánico Integral Penal</b:Title>
    <b:Year>2014</b:Year>
    <b:City>Quito</b:City>
    <b:Publisher>Publicado en Registro Oficial Suplemento No. 180 de fecha 10 de febrero del 2014</b:Publisher>
    <b:RefOrder>298</b:RefOrder>
  </b:Source>
  <b:Source>
    <b:Tag>MarcadorDePosición10</b:Tag>
    <b:SourceType>JournalArticle</b:SourceType>
    <b:Guid>{4817F370-CA68-4E3D-A5D7-140D8FCF1B85}</b:Guid>
    <b:Title>La resocialización como fin de la pena – una frustración en el sistema penitenciario y carcelario</b:Title>
    <b:JournalName>Cuaderno CRH, 30(81)</b:JournalName>
    <b:Year>2017</b:Year>
    <b:Pages>539-559</b:Pages>
    <b:Author>
      <b:Author>
        <b:NameList>
          <b:Person>
            <b:Last>Hernández Jiménez</b:Last>
            <b:First>Norberto </b:First>
          </b:Person>
        </b:NameList>
      </b:Author>
    </b:Author>
    <b:RefOrder>299</b:RefOrder>
  </b:Source>
  <b:Source>
    <b:Tag>Arr20</b:Tag>
    <b:SourceType>JournalArticle</b:SourceType>
    <b:Guid>{B70F1330-88F9-470C-9513-E5179F1232C6}</b:Guid>
    <b:Title>Interpretación del sistema carcelario ecuatoriano</b:Title>
    <b:Year>2020</b:Year>
    <b:Author>
      <b:Author>
        <b:NameList>
          <b:Person>
            <b:Last>Arrias Añez</b:Last>
            <b:First>Julio César De Jesús</b:First>
          </b:Person>
          <b:Person>
            <b:Last>Plaza Benavides</b:Last>
            <b:First>Betzabeth Raquel</b:First>
          </b:Person>
          <b:Person>
            <b:Last>Herráez Quezada</b:Last>
            <b:First>Raúl Gilberto</b:First>
          </b:Person>
        </b:NameList>
      </b:Author>
    </b:Author>
    <b:JournalName>Revista Universidad y Sociedad, 12(4)</b:JournalName>
    <b:Pages>16-20</b:Pages>
    <b:RefOrder>300</b:RefOrder>
  </b:Source>
  <b:Source>
    <b:Tag>MarcadorDePosición11</b:Tag>
    <b:SourceType>InternetSite</b:SourceType>
    <b:Guid>{EABBC695-EDF5-44C9-B8A4-A6BB263F5310}</b:Guid>
    <b:Title>Motines en cárceles de Ecuador dejan al menos 18 muertos</b:Title>
    <b:Year>2021</b:Year>
    <b:Month>julio</b:Month>
    <b:Day>22</b:Day>
    <b:URL>https://www.aa.com.tr/es/mundo/motines-en-c%C3%A1rceles-de-ecuador-dejan-al-menos-18-muertos/2311485#</b:URL>
    <b:Author>
      <b:Author>
        <b:NameList>
          <b:Person>
            <b:Last>Serna Duque</b:Last>
            <b:First>Santiago</b:First>
          </b:Person>
        </b:NameList>
      </b:Author>
    </b:Author>
    <b:RefOrder>301</b:RefOrder>
  </b:Source>
  <b:Source>
    <b:Tag>Dia21</b:Tag>
    <b:SourceType>InternetSite</b:SourceType>
    <b:Guid>{2611F7C8-0E65-4629-BA12-65D43121571A}</b:Guid>
    <b:Author>
      <b:Author>
        <b:Corporate>Diario El Universo</b:Corporate>
      </b:Author>
    </b:Author>
    <b:Title>Nueva masacre en las cárceles supera la cifra de muertes del 2020 y, en respuesta, presidente cambia a director del SNAI y decreta emergencia</b:Title>
    <b:Year>2021</b:Year>
    <b:Month>julio</b:Month>
    <b:Day>22</b:Day>
    <b:URL>https://www.eluniverso.com/noticias/seguridad/nueva-masacre-en-las-carceles-supera-la-cifra-de-muertes-del-2020-y-en-respuesta-presidente-cambia-a-director-del-snai-y-decreta-emergencia-nota/</b:URL>
    <b:RefOrder>302</b:RefOrder>
  </b:Source>
  <b:Source>
    <b:Tag>Dia2111</b:Tag>
    <b:SourceType>InternetSite</b:SourceType>
    <b:Guid>{3EDD612D-8F91-4000-8F03-967217F54324}</b:Guid>
    <b:Title>Aumentó a 119 la cifra de fallecidos en la masacre de la Penitenciaría, 100 han sido identificados</b:Title>
    <b:Year>2021</b:Year>
    <b:Author>
      <b:Author>
        <b:Corporate>Diario El Universo</b:Corporate>
      </b:Author>
    </b:Author>
    <b:Month>octubre</b:Month>
    <b:Day>02</b:Day>
    <b:URL>https://www.eluniverso.com/noticias/seguridad/aumento-a-119-la-cifra-de-fallecidos-en-la-masacre-de-la-penitenciaria-100-han-sido-identificados-nota/</b:URL>
    <b:RefOrder>303</b:RefOrder>
  </b:Source>
  <b:Source>
    <b:Tag>Dia211</b:Tag>
    <b:SourceType>InternetSite</b:SourceType>
    <b:Guid>{F04545DA-20C3-436A-951C-6DBDE98311C0}</b:Guid>
    <b:Author>
      <b:Author>
        <b:Corporate>Diario El Comercio</b:Corporate>
      </b:Author>
    </b:Author>
    <b:Title>Nueva masacre evidencia viejas fallas en cárceles de Ecuador</b:Title>
    <b:Year>2021</b:Year>
    <b:Month>julio</b:Month>
    <b:Day>23</b:Day>
    <b:URL>https://www.elcomercio.com/actualidad/seguridad/carceles-masacre-cotopaxi-penitenciaria-presos.html</b:URL>
    <b:RefOrder>304</b:RefOrder>
  </b:Source>
  <b:Source>
    <b:Tag>Núñ181</b:Tag>
    <b:SourceType>Book</b:SourceType>
    <b:Guid>{177DA5ED-50B0-4C88-8BD0-1A7A3566DC8F}</b:Guid>
    <b:Title>Incumplimiento del principio de rehabilitación social y su incidencia en las personas privadas de la libertad (Tesis de posgrado)</b:Title>
    <b:Year>2018</b:Year>
    <b:City>Quito</b:City>
    <b:Publisher>Universidad Andina Simón Bolívar</b:Publisher>
    <b:Author>
      <b:Author>
        <b:NameList>
          <b:Person>
            <b:Last>Núñez Falconí</b:Last>
            <b:First>Nadia</b:First>
          </b:Person>
        </b:NameList>
      </b:Author>
    </b:Author>
    <b:RefOrder>305</b:RefOrder>
  </b:Source>
  <b:Source>
    <b:Tag>Ávi08</b:Tag>
    <b:SourceType>Book</b:SourceType>
    <b:Guid>{43A73137-2946-49AB-8658-7C219907E6BB}</b:Guid>
    <b:Title>La Rehabilitación no rehabilita: La ejecución de penas en el garantismo penal</b:Title>
    <b:Year>2008</b:Year>
    <b:City>Quito</b:City>
    <b:Publisher>Ministerio de Justicia, Derechos Humanos y Cultos </b:Publisher>
    <b:Author>
      <b:Author>
        <b:NameList>
          <b:Person>
            <b:Last>Ávila Santamaría</b:Last>
            <b:First>Ramiro</b:First>
          </b:Person>
        </b:NameList>
      </b:Author>
    </b:Author>
    <b:RefOrder>306</b:RefOrder>
  </b:Source>
  <b:Source>
    <b:Tag>Cer161</b:Tag>
    <b:SourceType>JournalArticle</b:SourceType>
    <b:Guid>{09355024-981B-47D8-BC46-0275D51042FE}</b:Guid>
    <b:Title>Reinserción y readaptación social: agendas pendientes en el esquema penitenciario</b:Title>
    <b:Year>2016</b:Year>
    <b:JournalName>Revista Opción, 32(9)</b:JournalName>
    <b:Pages>343-370</b:Pages>
    <b:Author>
      <b:Author>
        <b:NameList>
          <b:Person>
            <b:Last>Cerda Pérez</b:Last>
            <b:First>Patricia Liliana</b:First>
          </b:Person>
          <b:Person>
            <b:Last>Alvarado Pérez</b:Last>
            <b:First>José Gregorio Jr.</b:First>
          </b:Person>
          <b:Person>
            <b:Last>Cerda Pérez</b:Last>
            <b:First>Emma</b:First>
          </b:Person>
        </b:NameList>
      </b:Author>
    </b:Author>
    <b:RefOrder>307</b:RefOrder>
  </b:Source>
  <b:Source>
    <b:Tag>Nov19</b:Tag>
    <b:SourceType>JournalArticle</b:SourceType>
    <b:Guid>{F944F9C0-E13B-4DC5-BE4B-401E1F396253}</b:Guid>
    <b:Title>La inclusión de grupos de atención prioritaria en proyectos de vinculación de la sociedad</b:Title>
    <b:JournalName>Revista Conrado, 15(67)</b:JournalName>
    <b:Year>2019</b:Year>
    <b:Pages>75-80</b:Pages>
    <b:Author>
      <b:Author>
        <b:NameList>
          <b:Person>
            <b:Last>Novillo Díaz</b:Last>
            <b:First>Lenin Alexander </b:First>
          </b:Person>
        </b:NameList>
      </b:Author>
    </b:Author>
    <b:RefOrder>308</b:RefOrder>
  </b:Source>
  <b:Source>
    <b:Tag>Loo21</b:Tag>
    <b:SourceType>DocumentFromInternetSite</b:SourceType>
    <b:Guid>{71723576-08B0-455A-90BA-D7632E37053D}</b:Guid>
    <b:Title>Personas de doble vulnerabilidad</b:Title>
    <b:Year>2021</b:Year>
    <b:Month>abril</b:Month>
    <b:Day>16</b:Day>
    <b:URL>https://www.derechoecuador.com/personas-de-doble-vulnerabilidad</b:URL>
    <b:Author>
      <b:Author>
        <b:NameList>
          <b:Person>
            <b:Last>Loor Loor</b:Last>
            <b:First>Yandri M.</b:First>
          </b:Person>
          <b:Person>
            <b:Last>Espinoza Guillén</b:Last>
            <b:First>Byron</b:First>
          </b:Person>
        </b:NameList>
      </b:Author>
    </b:Author>
    <b:RefOrder>309</b:RefOrder>
  </b:Source>
  <b:Source>
    <b:Tag>Asa08</b:Tag>
    <b:SourceType>Book</b:SourceType>
    <b:Guid>{1B09E7EB-128B-4690-8C9E-D26D8A1B7DDF}</b:Guid>
    <b:Author>
      <b:Author>
        <b:Corporate>Asamblea Constituyente</b:Corporate>
      </b:Author>
    </b:Author>
    <b:Title>Constitución de la República del Ecuador</b:Title>
    <b:Year>2008</b:Year>
    <b:City>Quito</b:City>
    <b:Publisher>Publicado en Registro Oficial No. 449 de fecha 20 de octubre del 2008</b:Publisher>
    <b:RefOrder>310</b:RefOrder>
  </b:Source>
  <b:Source>
    <b:Tag>Aña17</b:Tag>
    <b:SourceType>JournalArticle</b:SourceType>
    <b:Guid>{EF31100D-0507-4F18-8315-1C4388333795}</b:Guid>
    <b:Title>¿Desarrollo humano en contextos punitivos?</b:Title>
    <b:Year>2017</b:Year>
    <b:JournalName>Revista Criminal, 59(2)</b:JournalName>
    <b:Pages>109-124</b:Pages>
    <b:Author>
      <b:Author>
        <b:NameList>
          <b:Person>
            <b:Last>Añaños Bedriñana</b:Last>
            <b:First>Fanny T</b:First>
          </b:Person>
          <b:Person>
            <b:Last>García Vita</b:Last>
            <b:First>María del Mar</b:First>
          </b:Person>
        </b:NameList>
      </b:Author>
    </b:Author>
    <b:RefOrder>311</b:RefOrder>
  </b:Source>
  <b:Source>
    <b:Tag>Man01</b:Tag>
    <b:SourceType>Book</b:SourceType>
    <b:Guid>{3C560A0C-B7A4-4FD0-83ED-A509C6BA7FCA}</b:Guid>
    <b:Title>La medición del desarrollo humano: elementos de un debate. Serie Estudios</b:Title>
    <b:Year>2001</b:Year>
    <b:City>Santiago de Chile</b:City>
    <b:Publisher>CEPAL</b:Publisher>
    <b:Author>
      <b:Author>
        <b:NameList>
          <b:Person>
            <b:Last>Mancero</b:Last>
            <b:First>Xavier</b:First>
          </b:Person>
        </b:NameList>
      </b:Author>
    </b:Author>
    <b:RefOrder>312</b:RefOrder>
  </b:Source>
  <b:Source>
    <b:Tag>Pal08</b:Tag>
    <b:SourceType>Book</b:SourceType>
    <b:Guid>{451B6BCA-E8D9-4AC7-B2A3-259B5C20F6B7}</b:Guid>
    <b:Title>Razón jurídica o barbarie: Sobre la jurisdicción en la ejecución penal</b:Title>
    <b:Year>2008</b:Year>
    <b:City>Quito</b:City>
    <b:Publisher>Ministerio de Justicia, Derechos Humanos y Cultos</b:Publisher>
    <b:Author>
      <b:Author>
        <b:NameList>
          <b:Person>
            <b:Last>Paladines</b:Last>
            <b:First>Jorge Vicente</b:First>
          </b:Person>
        </b:NameList>
      </b:Author>
    </b:Author>
    <b:RefOrder>313</b:RefOrder>
  </b:Source>
  <b:Source>
    <b:Tag>Alb04</b:Tag>
    <b:SourceType>Book</b:SourceType>
    <b:Guid>{572DD4F4-3425-4F86-AD2C-8225386AE123}</b:Guid>
    <b:Title>Manual de derecho penal ecuatoriano: Parte general</b:Title>
    <b:Year>2004</b:Year>
    <b:City>Quito</b:City>
    <b:Publisher>Ediciones Legales</b:Publisher>
    <b:Author>
      <b:Author>
        <b:NameList>
          <b:Person>
            <b:Last>Albán Gómez</b:Last>
            <b:First>Ernesto </b:First>
          </b:Person>
        </b:NameList>
      </b:Author>
    </b:Author>
    <b:RefOrder>314</b:RefOrder>
  </b:Source>
  <b:Source>
    <b:Tag>Car12</b:Tag>
    <b:SourceType>JournalArticle</b:SourceType>
    <b:Guid>{654FAF0C-0CC1-48B9-8CD3-B68DE7C1739C}</b:Guid>
    <b:Title>Situación penitenciaria en América Latina y el Caribe ¿Qué hacer?</b:Title>
    <b:Year>2012</b:Year>
    <b:JournalName>Anuario de derechos humanos, 8</b:JournalName>
    <b:Pages>31-66</b:Pages>
    <b:Author>
      <b:Author>
        <b:NameList>
          <b:Person>
            <b:Last>Carranza</b:Last>
            <b:First>E.</b:First>
          </b:Person>
        </b:NameList>
      </b:Author>
    </b:Author>
    <b:RefOrder>315</b:RefOrder>
  </b:Source>
  <b:Source>
    <b:Tag>Gar05</b:Tag>
    <b:SourceType>Book</b:SourceType>
    <b:Guid>{F69AFEC6-92E9-42F8-BA38-DCBCF48230CA}</b:Guid>
    <b:Title>La cultura del control Crimen y orden social en la sociedad contemporánea</b:Title>
    <b:Year>2005</b:Year>
    <b:City>Barcelona</b:City>
    <b:Publisher>Gedisa</b:Publisher>
    <b:Author>
      <b:Author>
        <b:NameList>
          <b:Person>
            <b:Last>Garland</b:Last>
            <b:First>D.</b:First>
          </b:Person>
        </b:NameList>
      </b:Author>
    </b:Author>
    <b:RefOrder>316</b:RefOrder>
  </b:Source>
  <b:Source>
    <b:Tag>Her171</b:Tag>
    <b:SourceType>JournalArticle</b:SourceType>
    <b:Guid>{96005328-7BB5-4E72-BCC6-244CB83A2F50}</b:Guid>
    <b:Title>La resocialización como fin de la pena - Una frustración en el sistema penitenciario y carcelario</b:Title>
    <b:Year>2017</b:Year>
    <b:Pages>50-72</b:Pages>
    <b:JournalName>Revista Caderno CRH, 30(81)</b:JournalName>
    <b:Author>
      <b:Author>
        <b:NameList>
          <b:Person>
            <b:Last>Hernández Jiménez</b:Last>
            <b:First>Norberto </b:First>
          </b:Person>
        </b:NameList>
      </b:Author>
    </b:Author>
    <b:RefOrder>317</b:RefOrder>
  </b:Source>
  <b:Source>
    <b:Tag>Alb14</b:Tag>
    <b:SourceType>Book</b:SourceType>
    <b:Guid>{26C1CC2E-C688-4DAA-A729-CFAB6C26D7E8}</b:Guid>
    <b:Title>Vida en prisión: guía práctica de derecho penitenciario</b:Title>
    <b:Year>2014</b:Year>
    <b:Author>
      <b:Author>
        <b:NameList>
          <b:Person>
            <b:Last>Albinyana</b:Last>
            <b:First>J.</b:First>
          </b:Person>
          <b:Person>
            <b:Last>Cervera</b:Last>
            <b:First>S.</b:First>
          </b:Person>
        </b:NameList>
      </b:Author>
    </b:Author>
    <b:City>Madrid</b:City>
    <b:Publisher>Fe d'erratas</b:Publisher>
    <b:RefOrder>318</b:RefOrder>
  </b:Source>
  <b:Source>
    <b:Tag>Aug19</b:Tag>
    <b:SourceType>DocumentFromInternetSite</b:SourceType>
    <b:Guid>{C74A4723-51F7-42B7-B2F2-493629245BAB}</b:Guid>
    <b:Title>Sistema de Rehabilitación social</b:Title>
    <b:Year>2019</b:Year>
    <b:Month>abril</b:Month>
    <b:Day>05</b:Day>
    <b:URL>https://www.derechoecuador.com/sistema-de-rehabilitacion-social</b:URL>
    <b:Author>
      <b:Author>
        <b:NameList>
          <b:Person>
            <b:Last>Durán Ponce</b:Last>
            <b:First>Augusto</b:First>
          </b:Person>
        </b:NameList>
      </b:Author>
    </b:Author>
    <b:RefOrder>319</b:RefOrder>
  </b:Source>
  <b:Source>
    <b:Tag>Asa48</b:Tag>
    <b:SourceType>Book</b:SourceType>
    <b:Guid>{AE8573A0-2C71-446D-A492-1629BA15F45C}</b:Guid>
    <b:Author>
      <b:Author>
        <b:Corporate>Asamblea General de las Naciones Unidas</b:Corporate>
      </b:Author>
    </b:Author>
    <b:Title>Declaración Universal de Derechos Humanos</b:Title>
    <b:Year>1948</b:Year>
    <b:City>París</b:City>
    <b:Publisher>Proclamada en Resolución 217 A (III) en París, el 10 de diciembre de 1948</b:Publisher>
    <b:RefOrder>320</b:RefOrder>
  </b:Source>
  <b:Source>
    <b:Tag>Org55</b:Tag>
    <b:SourceType>Book</b:SourceType>
    <b:Guid>{74C44469-CB59-4DD1-979B-098F2E12BAFC}</b:Guid>
    <b:Title>Reglas mínimas para el tratamiento de los reclusos</b:Title>
    <b:Year>1955</b:Year>
    <b:City>Ginebra</b:City>
    <b:Publisher>Adoptadas por el Primer Congreso de las Naciones Unidas sobre Prevención del Delito y Tratamiento del Delincuente, celebrado en Ginebra en 1955, y aprobadas por el Consejo Económico y Social en sus resoluciones 663C (XXIV) y 2076 (LXII)</b:Publisher>
    <b:Author>
      <b:Author>
        <b:Corporate>Organización de las Naciones Unidas</b:Corporate>
      </b:Author>
    </b:Author>
    <b:RefOrder>321</b:RefOrder>
  </b:Source>
  <b:Source>
    <b:Tag>Asa662</b:Tag>
    <b:SourceType>Book</b:SourceType>
    <b:Guid>{074113F8-6515-4096-99CA-D8A856B9DD59}</b:Guid>
    <b:Author>
      <b:Author>
        <b:Corporate>Asamblea General de las Naciones Unidas</b:Corporate>
      </b:Author>
    </b:Author>
    <b:Title>Pacto Internacional de Derechos Económicos, Sociales y Culturales</b:Title>
    <b:Year>1966</b:Year>
    <b:Publisher>Adoptado y abierto a la firma, ratificación y adhesión por la Asamblea General en su resolución 2200 A (XXI), de 16 de diciembre de 1966</b:Publisher>
    <b:RefOrder>322</b:RefOrder>
  </b:Source>
  <b:Source>
    <b:Tag>Oso12</b:Tag>
    <b:SourceType>JournalArticle</b:SourceType>
    <b:Guid>{A9FDF575-FC88-4D2B-AE66-23727B65BAC8}</b:Guid>
    <b:Title>La realización plena de los derechos económicos, sociales y culturales, una aspiración insatisfecha: a propósito de las personas privadas de la libertad</b:Title>
    <b:Year>2012</b:Year>
    <b:JournalName>Revista Internacional de Derechos Humanos</b:JournalName>
    <b:Pages>145-165</b:Pages>
    <b:Author>
      <b:Author>
        <b:NameList>
          <b:Person>
            <b:Last>Osorio Álvarez</b:Last>
            <b:First>Astrid </b:First>
          </b:Person>
        </b:NameList>
      </b:Author>
    </b:Author>
    <b:RefOrder>323</b:RefOrder>
  </b:Source>
  <b:Source>
    <b:Tag>Con69</b:Tag>
    <b:SourceType>Book</b:SourceType>
    <b:Guid>{90975C20-6750-4125-8ABE-C0FAFA723BE0}</b:Guid>
    <b:Author>
      <b:Author>
        <b:Corporate>Conferencia Especializada Interamericana de Derechos Humanos</b:Corporate>
      </b:Author>
    </b:Author>
    <b:Title>Convención Americana sobre Derechos Humanos (Pacto de San José)</b:Title>
    <b:Year>1969</b:Year>
    <b:City>Costa Rica</b:City>
    <b:Publisher>Suscrita en la Conferencia Especializada Interamericana sobre Derechos Humanos San José, Costa Rica del 7 al 22 de noviembre de 1969</b:Publisher>
    <b:RefOrder>324</b:RefOrder>
  </b:Source>
  <b:Source>
    <b:Tag>Cor02</b:Tag>
    <b:SourceType>DocumentFromInternetSite</b:SourceType>
    <b:Guid>{1C8EE8F4-07A4-4F50-B78F-8CEE4E18450D}</b:Guid>
    <b:Author>
      <b:Author>
        <b:Corporate>Corte Interamericana de Derechos Humanos</b:Corporate>
      </b:Author>
    </b:Author>
    <b:Title>Caso Hilaire, Constantine y Benjamin y otros Vs. Trinidad y Tobago (Fondo, Reparaciones y Costas) </b:Title>
    <b:Year>2002</b:Year>
    <b:Month>junio</b:Month>
    <b:Day>21</b:Day>
    <b:URL>https://www.corteidh.or.cr/docs/casos/articulos/Seriec_94_esp.pdf</b:URL>
    <b:RefOrder>325</b:RefOrder>
  </b:Source>
  <b:Source>
    <b:Tag>Cor04</b:Tag>
    <b:SourceType>DocumentFromInternetSite</b:SourceType>
    <b:Guid>{3464BCE4-36CF-48DB-9A41-472F4404305B}</b:Guid>
    <b:Title>Caso “Instituto de Reeducación del Menor” Vs. Paraguay (Excepciones Preliminares, Fondo, Reparaciones y Costas)</b:Title>
    <b:Year>2004</b:Year>
    <b:Author>
      <b:Author>
        <b:Corporate>Corte Interamericana de Derechos Humanos</b:Corporate>
      </b:Author>
    </b:Author>
    <b:City>Costa Rica</b:City>
    <b:Month>septiembre</b:Month>
    <b:Day>02</b:Day>
    <b:URL>https://www.corteidh.or.cr/docs/casos/articulos/seriec_112_esp.pdf</b:URL>
    <b:RefOrder>326</b:RefOrder>
  </b:Source>
  <b:Source>
    <b:Tag>INR21</b:Tag>
    <b:SourceType>DocumentFromInternetSite</b:SourceType>
    <b:Guid>{A6927271-5ECA-4D76-9382-E00204B76BDA}</b:Guid>
    <b:Title>Ecuador registra más de 38 mil presos en el 2021, 15 mil están sin una sentencia y sus familiares pagan más de 200 dólares mensuales para cubrir sus necesidades mínimas</b:Title>
    <b:Year>2021</b:Year>
    <b:Author>
      <b:Author>
        <b:Corporate>INREDH Derechos Humanos</b:Corporate>
      </b:Author>
    </b:Author>
    <b:Month>octubre</b:Month>
    <b:Day>14</b:Day>
    <b:URL>https://inredh.org/ecuador-registra-mas-de-38-mil-presos-en-el-2021-15-mil-estan-sin-una-sentencia/</b:URL>
    <b:RefOrder>327</b:RefOrder>
  </b:Source>
  <b:Source>
    <b:Tag>Ser</b:Tag>
    <b:SourceType>DocumentFromInternetSite</b:SourceType>
    <b:Guid>{51522C29-A5B0-4104-81BE-672506646005}</b:Guid>
    <b:Author>
      <b:Author>
        <b:Corporate>Servicio Nacional de atención integral a personas privadas de la libertad y a adolescentes infractores</b:Corporate>
      </b:Author>
    </b:Author>
    <b:Title>Transformación del sistema de rehabilitación social a nivel nacional</b:Title>
    <b:Month>noviembre</b:Month>
    <b:Day>2019</b:Day>
    <b:URL>https://www.atencionintegral.gob.ec/wp-content/uploads/2020/02/PROYECTO-TRANSFORMACI%C3%93N-SISTEMA-REHABILITACI%C3%93N-SOCIAL_VF_15NOV2019.pdf</b:URL>
    <b:RefOrder>328</b:RefOrder>
  </b:Source>
  <b:Source>
    <b:Tag>Pre19</b:Tag>
    <b:SourceType>DocumentFromInternetSite</b:SourceType>
    <b:Guid>{341BE18A-DC8B-46DB-899B-5AFF25A4BEDF}</b:Guid>
    <b:Author>
      <b:Author>
        <b:Corporate>Presidencia de la República del Ecuador</b:Corporate>
      </b:Author>
    </b:Author>
    <b:Title>Decreto Ejecutivo No. 741</b:Title>
    <b:Year>2019</b:Year>
    <b:Month>mayo</b:Month>
    <b:Day>16</b:Day>
    <b:URL>http://www.oas.org/es/sla/ddi/docs/tratados_multilaterales_suspencion_garantias_Ecuador_No_4-2-210-2019.pdf</b:URL>
    <b:RefOrder>329</b:RefOrder>
  </b:Source>
  <b:Source>
    <b:Tag>Pre191</b:Tag>
    <b:SourceType>DocumentFromInternetSite</b:SourceType>
    <b:Guid>{FED19288-0F7E-48AD-A608-0C191109BA66}</b:Guid>
    <b:Author>
      <b:Author>
        <b:Corporate>Presidencia de la República del Ecuador</b:Corporate>
      </b:Author>
    </b:Author>
    <b:Title>Decreto Ejecutivo No. 741</b:Title>
    <b:Year>2019</b:Year>
    <b:Month>julio</b:Month>
    <b:Day>15</b:Day>
    <b:URL>https://minka.presidencia.gob.ec/portal/usuarios_externos.jsf</b:URL>
    <b:RefOrder>330</b:RefOrder>
  </b:Source>
  <b:Source>
    <b:Tag>Cor183</b:Tag>
    <b:SourceType>DocumentFromInternetSite</b:SourceType>
    <b:Guid>{9705F1D4-98AF-4A40-B5E0-74DF01359AFB}</b:Guid>
    <b:Title>Sentencia No. 017-18-SEP-CC, dentro del Caso No. 0513-16-EP</b:Title>
    <b:Year>2018</b:Year>
    <b:Month>enero</b:Month>
    <b:Day>10</b:Day>
    <b:URL>http://doc.corteconstitucional.gob.ec:8080/alfresco/d/d/workspace/SpacesStore/fc4fdf9b-893d-4bc1-be98-9897b1746d74/0513-16-ep-sen.pdf?guest=true</b:URL>
    <b:Author>
      <b:Author>
        <b:Corporate>Corte Constitucional del Ecuador</b:Corporate>
      </b:Author>
    </b:Author>
    <b:RefOrder>331</b:RefOrder>
  </b:Source>
  <b:Source>
    <b:Tag>Her14</b:Tag>
    <b:SourceType>Book</b:SourceType>
    <b:Guid>{2B7BB847-4EED-4073-AA2E-386FDDA46536}</b:Guid>
    <b:Title>Metodología de la Investigación</b:Title>
    <b:Year>2014</b:Year>
    <b:City>México</b:City>
    <b:Publisher>Mc Graw Hill</b:Publisher>
    <b:Author>
      <b:Author>
        <b:NameList>
          <b:Person>
            <b:Last>Hernández Sampieri</b:Last>
            <b:First>Roberto</b:First>
          </b:Person>
          <b:Person>
            <b:Last>Fernández Collado</b:Last>
            <b:First>Carlos</b:First>
          </b:Person>
          <b:Person>
            <b:Last>Baptista Lucio</b:Last>
            <b:First>Pilar</b:First>
          </b:Person>
        </b:NameList>
      </b:Author>
    </b:Author>
    <b:RefOrder>332</b:RefOrder>
  </b:Source>
  <b:Source>
    <b:Tag>GSM20</b:Tag>
    <b:SourceType>Report</b:SourceType>
    <b:Guid>{19E5D96E-D695-4D8E-9BE7-CDCA2890DB2D}</b:Guid>
    <b:Title>The Mobile Economy 2020</b:Title>
    <b:Year>2020</b:Year>
    <b:Author>
      <b:Author>
        <b:Corporate>GSM Association</b:Corporate>
      </b:Author>
    </b:Author>
    <b:LCID>en-US</b:LCID>
    <b:URL>https://www.gsma.com/mobileeconomy/</b:URL>
    <b:RefOrder>333</b:RefOrder>
  </b:Source>
  <b:Source>
    <b:Tag>Bra</b:Tag>
    <b:SourceType>InternetSite</b:SourceType>
    <b:Guid>{91A1CD3B-37D1-4CD7-9BD5-2C17DB70EEFE}</b:Guid>
    <b:Author>
      <b:Author>
        <b:Corporate>Brainlang</b:Corporate>
      </b:Author>
    </b:Author>
    <b:Title>La importancia del inglés en cifras</b:Title>
    <b:InternetSiteTitle>La importancia del inglés en cifras</b:InternetSiteTitle>
    <b:URL>https://www.brainlang.com/blog/la-importancia-del-ingles-en-cifras.html?utm_campaign=SEO-blog&amp;utm_source=SEO&amp;utm_content=blog_la-importancia-del-ingles-en-cifras#El-ingles-la-lengua-mas-poderosa-del-mundo</b:URL>
    <b:RefOrder>334</b:RefOrder>
  </b:Source>
  <b:Source>
    <b:Tag>Chá17</b:Tag>
    <b:SourceType>JournalArticle</b:SourceType>
    <b:Guid>{32543699-9F8F-4C37-808C-07A31246DFA3}</b:Guid>
    <b:Author>
      <b:Author>
        <b:NameList>
          <b:Person>
            <b:Last>Chávez Zambano</b:Last>
            <b:First>M.</b:First>
            <b:Middle>X.</b:Middle>
          </b:Person>
          <b:Person>
            <b:Last>Saltos Vivas</b:Last>
            <b:First>M.</b:First>
            <b:Middle>A.</b:Middle>
          </b:Person>
          <b:Person>
            <b:Last>Saltos-Dueñas</b:Last>
          </b:Person>
        </b:NameList>
      </b:Author>
    </b:Author>
    <b:Title>La importancia del aprendizaje y conocimiento del idioma inglés en la enseñanza superior</b:Title>
    <b:Year>2017</b:Year>
    <b:JournalName>Dominio de las Ciencias</b:JournalName>
    <b:Pages>759-771</b:Pages>
    <b:URL>https://dominiodelasciencias.com/ojs/index.php/es/article/view/707</b:URL>
    <b:DOI>http://dx.doi.org/10.23857/dc.v3i3 mon.707.</b:DOI>
    <b:RefOrder>335</b:RefOrder>
  </b:Source>
  <b:Source>
    <b:Tag>Cap15</b:Tag>
    <b:SourceType>JournalArticle</b:SourceType>
    <b:Guid>{63AFC3EF-1BDE-4935-9DCC-6B3741A79B76}</b:Guid>
    <b:Author>
      <b:Author>
        <b:NameList>
          <b:Person>
            <b:Last>Villegas</b:Last>
            <b:Middle>Santana</b:Middle>
            <b:First>Josefina del Carmen </b:First>
          </b:Person>
          <b:Person>
            <b:Last>García Santillán</b:Last>
            <b:First>Arturo</b:First>
          </b:Person>
          <b:Person>
            <b:Last>Escalera Chávez</b:Last>
            <b:Middle>Elena</b:Middle>
            <b:First>Milka</b:First>
          </b:Person>
        </b:NameList>
      </b:Author>
    </b:Author>
    <b:Title>Variables que influyen sobre el aprendizaje del inglés como segunda lengua</b:Title>
    <b:JournalName>Revista Internacional de Lenguas Extranjeras</b:JournalName>
    <b:Year>2016</b:Year>
    <b:Pages>79-94</b:Pages>
    <b:URL>https://www.raco.cat/index.php/RILE/article/view/316766</b:URL>
    <b:RefOrder>336</b:RefOrder>
  </b:Source>
  <b:Source>
    <b:Tag>Gav16</b:Tag>
    <b:SourceType>JournalArticle</b:SourceType>
    <b:Guid>{48FAF3E4-D8E3-4348-B80D-87CBB9F00CB8}</b:Guid>
    <b:Title>El aprendizaje de lenguas extranjeras mediado por las TIC: aprender Inglés con Duolingo</b:Title>
    <b:JournalName>El toldo de Astier</b:JournalName>
    <b:Year>2016</b:Year>
    <b:Pages>56-65</b:Pages>
    <b:Author>
      <b:Author>
        <b:NameList>
          <b:Person>
            <b:Last>Gavarri</b:Last>
            <b:Middle>Lorena</b:Middle>
            <b:First>Sandra</b:First>
          </b:Person>
        </b:NameList>
      </b:Author>
    </b:Author>
    <b:DOI>https://doi.org/10.33262/concienciadigital.v4i1.1.1557</b:DOI>
    <b:RefOrder>337</b:RefOrder>
  </b:Source>
  <b:Source>
    <b:Tag>Her16</b:Tag>
    <b:SourceType>JournalArticle</b:SourceType>
    <b:Guid>{3F687660-C8B7-4630-925C-48758C7BAD39}</b:Guid>
    <b:Title>Uso de la plataforma en línea duolingo para el incremento del nivel de habilidades receptivas en inglés en los alumnos de técnico superior universitario de una escuela técnica superior en la ciudad de guatemala.</b:Title>
    <b:Year>2016</b:Year>
    <b:Author>
      <b:Author>
        <b:NameList>
          <b:Person>
            <b:Last>Hernández Rojas</b:Last>
            <b:Middle>Santiago</b:Middle>
            <b:First>José</b:First>
          </b:Person>
        </b:NameList>
      </b:Author>
    </b:Author>
    <b:URL>http://recursosbiblio.url.edu.gt/tesisjcem/2015/05/84/Hernandez-Jose.pdf</b:URL>
    <b:RefOrder>338</b:RefOrder>
  </b:Source>
  <b:Source>
    <b:Tag>Mel02</b:Tag>
    <b:SourceType>Book</b:SourceType>
    <b:Guid>{F7111680-9267-4276-BBF7-532BA49C2D9D}</b:Guid>
    <b:Author>
      <b:Author>
        <b:NameList>
          <b:Person>
            <b:Last>Melillo</b:Last>
            <b:First>A.</b:First>
          </b:Person>
        </b:NameList>
      </b:Author>
    </b:Author>
    <b:Title> Sobre la necesidad de especificar otro pilar de la resiliencia: </b:Title>
    <b:Year>2002</b:Year>
    <b:City>Buenos Aires</b:City>
    <b:Publisher>Paidós.</b:Publisher>
    <b:RefOrder>339</b:RefOrder>
  </b:Source>
  <b:Source>
    <b:Tag>Cyr09</b:Tag>
    <b:SourceType>Book</b:SourceType>
    <b:Guid>{F004382B-33AF-4732-8CD7-C11270DA4E5D}</b:Guid>
    <b:Author>
      <b:Author>
        <b:NameList>
          <b:Person>
            <b:Last>Cyrulnik</b:Last>
            <b:First>B.</b:First>
          </b:Person>
        </b:NameList>
      </b:Author>
    </b:Author>
    <b:Title>La resiliencia o la capacidad humana de superar pérdidas, crisis, adversidades o traumas. </b:Title>
    <b:Year>2009</b:Year>
    <b:City>Madrid - España</b:City>
    <b:Publisher>: Institud Francais.</b:Publisher>
    <b:RefOrder>340</b:RefOrder>
  </b:Source>
  <b:Source>
    <b:Tag>Van11</b:Tag>
    <b:SourceType>Book</b:SourceType>
    <b:Guid>{8990BEA4-1CD8-4C5B-9AC7-6D74E88CC3B0}</b:Guid>
    <b:Author>
      <b:Author>
        <b:NameList>
          <b:Person>
            <b:Last>Vanistedael</b:Last>
            <b:First>S.,.</b:First>
          </b:Person>
        </b:NameList>
      </b:Author>
    </b:Author>
    <b:Title>La resiliencia no se construye a cualquier precio, siempre tiene una dimensión ética.: </b:Title>
    <b:Year>2011</b:Year>
    <b:City> Barcelona - España</b:City>
    <b:Publisher>Universidad de Barcelona.</b:Publisher>
    <b:RefOrder>341</b:RefOrder>
  </b:Source>
  <b:Source>
    <b:Tag>Gro06</b:Tag>
    <b:SourceType>Book</b:SourceType>
    <b:Guid>{47E47239-5892-45EC-8D93-1C63F94AE7A0}</b:Guid>
    <b:Author>
      <b:Author>
        <b:NameList>
          <b:Person>
            <b:Last>Grotberg</b:Last>
            <b:First>E.</b:First>
          </b:Person>
        </b:NameList>
      </b:Author>
    </b:Author>
    <b:Title> La resiliencia en el mundo de hoy.</b:Title>
    <b:Year>2006</b:Year>
    <b:City> Barcelona</b:City>
    <b:Publisher>Gedisa.</b:Publisher>
    <b:RefOrder>342</b:RefOrder>
  </b:Source>
  <b:Source>
    <b:Tag>Sal97</b:Tag>
    <b:SourceType>Book</b:SourceType>
    <b:Guid>{9F9312D8-86A8-4861-9148-CE3E8F9EE92E}</b:Guid>
    <b:Author>
      <b:Author>
        <b:NameList>
          <b:Person>
            <b:Last>Saleebey</b:Last>
            <b:First>D.</b:First>
          </b:Person>
        </b:NameList>
      </b:Author>
    </b:Author>
    <b:Title>¿Es factible enseñar HBSE desde una perspectiva de fortalezas, en ¿Contraste con uno que enfatiza limitaciones y debilidades?</b:Title>
    <b:Year>1997</b:Year>
    <b:City> Bostón: </b:City>
    <b:Publisher>Allyn y Tocino.</b:Publisher>
    <b:RefOrder>343</b:RefOrder>
  </b:Source>
  <b:Source>
    <b:Tag>Fer05</b:Tag>
    <b:SourceType>JournalArticle</b:SourceType>
    <b:Guid>{F2661A5F-C299-40B5-9A0E-643EE0A0ABC7}</b:Guid>
    <b:Author>
      <b:Author>
        <b:NameList>
          <b:Person>
            <b:Last>Fergus</b:Last>
            <b:First>S.</b:First>
          </b:Person>
          <b:Person>
            <b:Last>Zimmerman</b:Last>
            <b:First>M.</b:First>
          </b:Person>
        </b:NameList>
      </b:Author>
    </b:Author>
    <b:Title>Resiliencia del adolescente: un marco para el entendimiento. </b:Title>
    <b:Year>2005</b:Year>
    <b:JournalName> Desarrollo saludable,</b:JournalName>
    <b:Pages>399 - 419.</b:Pages>
    <b:RefOrder>344</b:RefOrder>
  </b:Source>
  <b:Source>
    <b:Tag>Rut95</b:Tag>
    <b:SourceType>JournalArticle</b:SourceType>
    <b:Guid>{63D852B5-130A-41E9-9CDB-EB34D765895E}</b:Guid>
    <b:Author>
      <b:Author>
        <b:NameList>
          <b:Person>
            <b:Last>Rutter</b:Last>
            <b:First>M.</b:First>
          </b:Person>
        </b:NameList>
      </b:Author>
    </b:Author>
    <b:Title> Resiliencia ante la adversidad: factores protectores y resistencia al trastorno psiquiátrico.</b:Title>
    <b:JournalName> British Journal of Psychiatric, </b:JournalName>
    <b:Year>1995</b:Year>
    <b:Pages>147 - 150.</b:Pages>
    <b:RefOrder>345</b:RefOrder>
  </b:Source>
  <b:Source>
    <b:Tag>Sal162</b:Tag>
    <b:SourceType>Book</b:SourceType>
    <b:Guid>{67430063-8959-452D-A6EF-4335D26A2C74}</b:Guid>
    <b:Author>
      <b:Author>
        <b:NameList>
          <b:Person>
            <b:Last>Salgado</b:Last>
            <b:First>A.</b:First>
          </b:Person>
        </b:NameList>
      </b:Author>
    </b:Author>
    <b:Title>Inventario de Resiliencia para Niños: Fundamentación teórica y construcción.  </b:Title>
    <b:Year>2016</b:Year>
    <b:City>Lima:</b:City>
    <b:Publisher>Universidad de San Martín de Porres.</b:Publisher>
    <b:RefOrder>346</b:RefOrder>
  </b:Source>
  <b:Source>
    <b:Tag>Cyr01</b:Tag>
    <b:SourceType>Book</b:SourceType>
    <b:Guid>{6D757083-1ED9-4465-B4D5-7EB658B05F78}</b:Guid>
    <b:Author>
      <b:Author>
        <b:Corporate>Cyrulnik, B.</b:Corporate>
      </b:Author>
    </b:Author>
    <b:Title>La maravilla del dolor</b:Title>
    <b:Year>2001</b:Year>
    <b:City>Barcelona</b:City>
    <b:Publisher>Granica</b:Publisher>
    <b:RefOrder>347</b:RefOrder>
  </b:Source>
  <b:Source>
    <b:Tag>Mel021</b:Tag>
    <b:SourceType>Book</b:SourceType>
    <b:Guid>{9E69FA9C-7D8F-4264-B95A-53C6CFDCADDC}</b:Guid>
    <b:Author>
      <b:Author>
        <b:Corporate>Melillo, A.</b:Corporate>
      </b:Author>
    </b:Author>
    <b:Title>Sobre la necesidad de especificar otro pilar de la resiliencia.:</b:Title>
    <b:Year>2002</b:Year>
    <b:City>Buenos Aires</b:City>
    <b:Publisher>Paidós.</b:Publisher>
    <b:RefOrder>348</b:RefOrder>
  </b:Source>
  <b:Source>
    <b:Tag>Wol99</b:Tag>
    <b:SourceType>Book</b:SourceType>
    <b:Guid>{9F029C64-A620-4392-BEA0-AFC5EB328D3B}</b:Guid>
    <b:Author>
      <b:Author>
        <b:NameList>
          <b:Person>
            <b:Last>Wollins</b:Last>
            <b:First>S.</b:First>
          </b:Person>
          <b:Person>
            <b:Last>Wieczorek</b:Last>
            <b:First>W.</b:First>
          </b:Person>
        </b:NameList>
      </b:Author>
    </b:Author>
    <b:Title> Resiliencia: Pros, contras y no resueltas. .</b:Title>
    <b:Year>1999</b:Year>
    <b:City> New York:</b:City>
    <b:Publisher>Mc Graw Hill</b:Publisher>
    <b:RefOrder>349</b:RefOrder>
  </b:Source>
  <b:Source>
    <b:Tag>Her03</b:Tag>
    <b:SourceType>Book</b:SourceType>
    <b:Guid>{F1FFDC7A-183C-4698-8F09-8677ADEFC5F4}</b:Guid>
    <b:Author>
      <b:Author>
        <b:NameList>
          <b:Person>
            <b:Last>Hernández</b:Last>
            <b:First>R.</b:First>
          </b:Person>
          <b:Person>
            <b:Last>Fernández</b:Last>
            <b:First>C.</b:First>
          </b:Person>
          <b:Person>
            <b:Last>Baptista</b:Last>
            <b:First>P.</b:First>
          </b:Person>
        </b:NameList>
      </b:Author>
    </b:Author>
    <b:Title> Metodología de la investigación. Tercera edición. Ed. </b:Title>
    <b:Year>2003</b:Year>
    <b:City>México DF, México:</b:City>
    <b:Publisher> MacGraw Hill Interamericana. </b:Publisher>
    <b:RefOrder>350</b:RefOrder>
  </b:Source>
  <b:Source>
    <b:Tag>Her07</b:Tag>
    <b:SourceType>Book</b:SourceType>
    <b:Guid>{42BEC754-C444-485D-8867-ABF77D41E924}</b:Guid>
    <b:Author>
      <b:Author>
        <b:NameList>
          <b:Person>
            <b:Last>Hernández</b:Last>
            <b:First>R.,</b:First>
            <b:Middle>Fernández, C.</b:Middle>
          </b:Person>
          <b:Person>
            <b:Last>Baptista</b:Last>
            <b:First>P.</b:First>
          </b:Person>
        </b:NameList>
      </b:Author>
    </b:Author>
    <b:Title>Fundamentos de metodología de la investigación</b:Title>
    <b:Year>2007</b:Year>
    <b:RefOrder>351</b:RefOrder>
  </b:Source>
  <b:Source>
    <b:Tag>Ari06</b:Tag>
    <b:SourceType>Book</b:SourceType>
    <b:Guid>{39811829-D93F-4F22-A515-116125F61B64}</b:Guid>
    <b:Author>
      <b:Author>
        <b:NameList>
          <b:Person>
            <b:Last>Arias</b:Last>
            <b:First>F.</b:First>
          </b:Person>
        </b:NameList>
      </b:Author>
    </b:Author>
    <b:Title> El proyecto de Investigación. Introducción a la metodología científica.,</b:Title>
    <b:Year>2006</b:Year>
    <b:City> Caracas</b:City>
    <b:Publisher> Editorial Episteme.</b:Publisher>
    <b:RefOrder>352</b:RefOrder>
  </b:Source>
  <b:Source>
    <b:Tag>Dou09</b:Tag>
    <b:SourceType>Book</b:SourceType>
    <b:Guid>{817B667E-8B20-460E-A587-28901BC298C3}</b:Guid>
    <b:Title> Conceptos básicos de la Metodología de la Investigación. </b:Title>
    <b:Year>2009</b:Year>
    <b:Author>
      <b:Author>
        <b:NameList>
          <b:Person>
            <b:Last>Doupovec</b:Last>
            <b:First>M.</b:First>
          </b:Person>
        </b:NameList>
      </b:Author>
    </b:Author>
    <b:Comments> http://metodologia02.blogspot.com/p/metodos-de-lainventigacion.html</b:Comments>
    <b:RefOrder>353</b:RefOrder>
  </b:Source>
  <b:Source>
    <b:Tag>Chá07</b:Tag>
    <b:SourceType>Book</b:SourceType>
    <b:Guid>{B0802DE5-43D1-4463-96A1-67790AE04790}</b:Guid>
    <b:Author>
      <b:Author>
        <b:NameList>
          <b:Person>
            <b:Last>Chávez</b:Last>
            <b:First>N.</b:First>
          </b:Person>
        </b:NameList>
      </b:Author>
    </b:Author>
    <b:Title>Introducción a la investigación educativa.</b:Title>
    <b:Year>2007</b:Year>
    <b:City> Maracaibo:</b:City>
    <b:Publisher> Gráfica González.</b:Publisher>
    <b:RefOrder>354</b:RefOrder>
  </b:Source>
  <b:Source>
    <b:Tag>Can10</b:Tag>
    <b:SourceType>JournalArticle</b:SourceType>
    <b:Guid>{32075B25-4B06-451C-91C8-8480613665AA}</b:Guid>
    <b:Title> Metodología de la investigación educativa:</b:Title>
    <b:JournalName> Investigación ex post facto</b:JournalName>
    <b:Year>2010</b:Year>
    <b:Author>
      <b:Author>
        <b:NameList>
          <b:Person>
            <b:Last>Cancela</b:Last>
            <b:First>R.</b:First>
          </b:Person>
          <b:Person>
            <b:Last>Cea</b:Last>
            <b:First>N.</b:First>
          </b:Person>
          <b:Person>
            <b:Last>Galindo</b:Last>
            <b:First>G.</b:First>
          </b:Person>
          <b:Person>
            <b:Last>Valilla</b:Last>
            <b:First>S.</b:First>
          </b:Person>
        </b:NameList>
      </b:Author>
    </b:Author>
    <b:Publisher>Universidad Autónoma de Madrid. </b:Publisher>
    <b:RefOrder>355</b:RefOrder>
  </b:Source>
  <b:Source>
    <b:Tag>MarcadorDePosición12</b:Tag>
    <b:SourceType>JournalArticle</b:SourceType>
    <b:Guid>{0217E856-74FD-4A38-8846-831E599464CB}</b:Guid>
    <b:Title>Inteligencia emocional y resiliencia en estudiantes de 5º de secundaria de una institución educativa pública del distrito de Chorrillos en el año 2017</b:Title>
    <b:JournalName>Universidad Nacional Federico Villarreal. Lima, Perú. Tesis de Maestria. http://repositorio.unfv.edu.pe/bitstream/handle/UNFV/4200/BENITES%20CASTRO%20MARIA%20ESTHER%20-%20MAESTRIA.pdf?sequence=1&amp;isAllowed=y</b:JournalName>
    <b:Year>2019</b:Year>
    <b:Author>
      <b:Author>
        <b:NameList>
          <b:Person>
            <b:Last>Benites</b:Last>
            <b:First>M</b:First>
          </b:Person>
        </b:NameList>
      </b:Author>
    </b:Author>
    <b:Pages>pp.95</b:Pages>
    <b:RefOrder>356</b:RefOrder>
  </b:Source>
  <b:Source>
    <b:Tag>Agu172</b:Tag>
    <b:SourceType>JournalArticle</b:SourceType>
    <b:Guid>{1CD3E2D1-BEE7-41F3-9DEB-68D3DD97A9FD}</b:Guid>
    <b:Title>Estrategias Para Potenciar la Inteligencia Emocional en Educación Infantil: Aplicación del Modelo de Mayer y Salovey</b:Title>
    <b:JournalName>Tendencias Pedagógicas. Nº 30. Universidad de Huelva. Dialnet-EstrategiasParaPotenciarLaInteligenciaEmocionalEnE-6164814.pdf</b:JournalName>
    <b:Year>2017</b:Year>
    <b:Pages>pp.1-16</b:Pages>
    <b:Author>
      <b:Author>
        <b:NameList>
          <b:Person>
            <b:Last>Aguaded</b:Last>
            <b:First>M</b:First>
          </b:Person>
          <b:Person>
            <b:Last>Valencia</b:Last>
            <b:First>J</b:First>
          </b:Person>
        </b:NameList>
      </b:Author>
    </b:Author>
    <b:RefOrder>357</b:RefOrder>
  </b:Source>
  <b:Source>
    <b:Tag>Mar174</b:Tag>
    <b:SourceType>JournalArticle</b:SourceType>
    <b:Guid>{46E3EDD0-8149-4C39-BB4E-D14FD18C7973}</b:Guid>
    <b:Title>Propiedades Psicométricas de la Escala de Resiliencia en adolescentes de Nuevo Chimbote</b:Title>
    <b:JournalName>Universidad Cesar Vallejo. Chimbote, Perú. Trabajo de Grado. https://repositorio.ucv.edu.pe/bitstream/handle/20.500.12692/10286/davila_md.pdf?sequence=1</b:JournalName>
    <b:Year>2017</b:Year>
    <b:Pages>pp.52</b:Pages>
    <b:Author>
      <b:Author>
        <b:NameList>
          <b:Person>
            <b:Last>Martínez</b:Last>
            <b:First>D</b:First>
          </b:Person>
        </b:NameList>
      </b:Author>
    </b:Author>
    <b:RefOrder>358</b:RefOrder>
  </b:Source>
  <b:Source>
    <b:Tag>Cej17</b:Tag>
    <b:SourceType>JournalArticle</b:SourceType>
    <b:Guid>{D029FA67-FF4F-4503-8023-9E4ECBEF1FC8}</b:Guid>
    <b:Title>Importancia de la inteligencia emocional en la práctica docente: un estudio con maestros</b:Title>
    <b:JournalName>Revista Psicologia de la Educativa. Vol. 23. Núm. 1.https://doi.org/10.1016/j.pse.2016.11.001.  https://journals.copmadrid.org/psed/art/j.pse.2016.11.001</b:JournalName>
    <b:Year>2017</b:Year>
    <b:Pages>pp. 29-36</b:Pages>
    <b:Author>
      <b:Author>
        <b:NameList>
          <b:Person>
            <b:Last>Cejudo</b:Last>
            <b:First>J</b:First>
          </b:Person>
          <b:Person>
            <b:Last>López</b:Last>
            <b:First>M</b:First>
          </b:Person>
        </b:NameList>
      </b:Author>
    </b:Author>
    <b:RefOrder>359</b:RefOrder>
  </b:Source>
  <b:Source>
    <b:Tag>Bis17</b:Tag>
    <b:SourceType>JournalArticle</b:SourceType>
    <b:Guid>{E8D749FD-921F-489C-A5E2-C4995A23B3C8}</b:Guid>
    <b:Title>La educación emocional en la infancia</b:Title>
    <b:JournalName>Universitat de Barcelona. España.https://dialnet.unirioja.es/servlet/autor?codigo=89078</b:JournalName>
    <b:Year>2017</b:Year>
    <b:Author>
      <b:Author>
        <b:NameList>
          <b:Person>
            <b:Last>Bisquerra</b:Last>
            <b:First>R</b:First>
          </b:Person>
        </b:NameList>
      </b:Author>
    </b:Author>
    <b:RefOrder>360</b:RefOrder>
  </b:Source>
  <b:Source>
    <b:Tag>Fer174</b:Tag>
    <b:SourceType>JournalArticle</b:SourceType>
    <b:Guid>{C1A9A0C0-6A53-478B-81EF-85E458508550}</b:Guid>
    <b:Title>Análisis de la resiliencia, ansiedad y lesión deportiva en fútbol según el nivel competitivo</b:Title>
    <b:JournalName>Cultura, ciencia y deporte, ISSN 1696-5043, Vol. 12, Nº. 35. Universidad de Granada. https://dialnet.unirioja.es/servlet/articulo?codigo=6080179</b:JournalName>
    <b:Year>2017</b:Year>
    <b:Pages>pp. 135-142</b:Pages>
    <b:Author>
      <b:Author>
        <b:NameList>
          <b:Person>
            <b:Last>Fernández</b:Last>
            <b:First>S</b:First>
          </b:Person>
          <b:Person>
            <b:Last>Extremera</b:Last>
            <b:First>M</b:First>
          </b:Person>
          <b:Person>
            <b:Last>et al</b:Last>
          </b:Person>
        </b:NameList>
      </b:Author>
    </b:Author>
    <b:RefOrder>361</b:RefOrder>
  </b:Source>
  <b:Source>
    <b:Tag>Aya191</b:Tag>
    <b:SourceType>JournalArticle</b:SourceType>
    <b:Guid>{F39C4262-E8B1-404F-91DE-68BDA2EE4DFE}</b:Guid>
    <b:Title>Inteligencia Emocional y Resiliencia en Estudiantes de tercero, cuarto y quinto grado de secundaria de la Institución Educativa Privada Luz y Ciencia de la Ciudad de Juliaca, 2019</b:Title>
    <b:Year>2019</b:Year>
    <b:Author>
      <b:Author>
        <b:NameList>
          <b:Person>
            <b:Last>Ayacho</b:Last>
            <b:First>E</b:First>
          </b:Person>
          <b:Person>
            <b:Last>Coaquira</b:Last>
            <b:First>J</b:First>
          </b:Person>
        </b:NameList>
      </b:Author>
    </b:Author>
    <b:RefOrder>362</b:RefOrder>
  </b:Source>
  <b:Source>
    <b:Tag>Gus151</b:Tag>
    <b:SourceType>JournalArticle</b:SourceType>
    <b:Guid>{2838AAE8-4E6F-48EC-97DF-63B02169E203}</b:Guid>
    <b:Author>
      <b:Author>
        <b:NameList>
          <b:Person>
            <b:Last>Gushñay</b:Last>
            <b:First>Johanna</b:First>
            <b:Middle>Alexandra Lucero</b:Middle>
          </b:Person>
        </b:NameList>
      </b:Author>
    </b:Author>
    <b:Title>Pedagogía de la voz: Guía Didáctica para la selección de Voces,  Solistas, Coro y Géneros Vocales.</b:Title>
    <b:JournalName>Universidad de Cuenca</b:JournalName>
    <b:Year>2015</b:Year>
    <b:URL>https://dspace.ucuenca.edu.ec/bitstream/123456789/23237/1/tesis.pdf</b:URL>
    <b:Pages>(1)1-205</b:Pages>
    <b:RefOrder>363</b:RefOrder>
  </b:Source>
  <b:Source>
    <b:Tag>Est161</b:Tag>
    <b:SourceType>JournalArticle</b:SourceType>
    <b:Guid>{51366007-2358-4B2A-9202-C8216F67B936}</b:Guid>
    <b:Author>
      <b:Author>
        <b:NameList>
          <b:Person>
            <b:Last>Estrada</b:Last>
            <b:First>Asier</b:First>
          </b:Person>
        </b:NameList>
      </b:Author>
    </b:Author>
    <b:Title>Las Canciones Infantiles como Herramienta en la etapa (0-6)</b:Title>
    <b:JournalName>Universidad de Cantabria</b:JournalName>
    <b:Year>2016</b:Year>
    <b:Pages>(1)1-56</b:Pages>
    <b:URL>epositorio.unican.es/xmlui/bitstream/handle/10902/8640/EstradaTorreAsier.pdf?sequence=1</b:URL>
    <b:RefOrder>364</b:RefOrder>
  </b:Source>
  <b:Source>
    <b:Tag>Rod141</b:Tag>
    <b:SourceType>JournalArticle</b:SourceType>
    <b:Guid>{C4ED9E97-E07B-44B3-A830-619F6DBA8625}</b:Guid>
    <b:Author>
      <b:Author>
        <b:NameList>
          <b:Person>
            <b:Last>Rodríguez</b:Last>
            <b:First>Andrea</b:First>
            <b:Middle>María Vides</b:Middle>
          </b:Person>
        </b:NameList>
      </b:Author>
    </b:Author>
    <b:Title>El canto como estrategia facilitadora del proceso enseñanza aprendizaje</b:Title>
    <b:JournalName>Universidad Rafael Landívar</b:JournalName>
    <b:Year>2014</b:Year>
    <b:Pages>(1)1-87</b:Pages>
    <b:URL>http://biblio3.url.edu.gt/Tesario/2014/05/84/Vides-Andrea.pdf</b:URL>
    <b:RefOrder>365</b:RefOrder>
  </b:Source>
  <b:Source>
    <b:Tag>Ant17</b:Tag>
    <b:SourceType>JournalArticle</b:SourceType>
    <b:Guid>{1D4D1ACC-13E6-4680-B79E-64CF3647F1CF}</b:Guid>
    <b:Title>El sentido de la educación musical en una educación concebida como motor de la economía del conocimiento: una propuesta de marco filosófico</b:Title>
    <b:JournalName>Revista Electrónica Complutense de Investigación en Educación Musical</b:JournalName>
    <b:Year>2017</b:Year>
    <b:Pages>(14) 95-107.</b:Pages>
    <b:Author>
      <b:Author>
        <b:NameList>
          <b:Person>
            <b:Last>Jiménez</b:Last>
            <b:First>Antonio</b:First>
            <b:Middle>Fernández</b:Middle>
          </b:Person>
          <b:Person>
            <b:Last>Jorquera-Jaramillo</b:Last>
            <b:First>María-Cecilia</b:First>
          </b:Person>
        </b:NameList>
      </b:Author>
    </b:Author>
    <b:DOI>http://dx.doi.org/10.5209/RECIEM.54834</b:DOI>
    <b:RefOrder>366</b:RefOrder>
  </b:Source>
  <b:Source>
    <b:Tag>Suá</b:Tag>
    <b:SourceType>JournalArticle</b:SourceType>
    <b:Guid>{EECD0389-6B3B-436C-982A-FDD8A4484EEA}</b:Guid>
    <b:Author>
      <b:Author>
        <b:NameList>
          <b:Person>
            <b:Last>Suárez</b:Last>
            <b:First>Audin</b:First>
            <b:Middle>Aloiso Gamboa</b:Middle>
          </b:Person>
        </b:NameList>
      </b:Author>
    </b:Author>
    <b:Title>Educación musical: Escenario para la formación del sujeto o un pariente pobre de los currículos escolares</b:Title>
    <b:JournalName>Saber Ciencia y Libertad</b:JournalName>
    <b:Pages>12 (1) 211-220</b:Pages>
    <b:URL>https://revistamusicalchilena.uchile.cl/index.php/RMCH/article/viewFile/13459/13728</b:URL>
    <b:Year>2016</b:Year>
    <b:RefOrder>367</b:RefOrder>
  </b:Source>
  <b:Source>
    <b:Tag>Car172</b:Tag>
    <b:SourceType>JournalArticle</b:SourceType>
    <b:Guid>{D63B1C28-7458-4684-B584-9F594874FE58}</b:Guid>
    <b:Title>Educación Musical Escolar en las Américas: Condiciones, Prácticas, y Políticas desde una Perspectiva Socio-Ecológica</b:Title>
    <b:JournalName>Revista Electrónica Complutense de Investigación en Educación Musical</b:JournalName>
    <b:Year>2017</b:Year>
    <b:Pages>(14) 29-45</b:Pages>
    <b:Author>
      <b:Author>
        <b:NameList>
          <b:Person>
            <b:Last>Abril</b:Last>
            <b:First>Carlos</b:First>
          </b:Person>
          <b:Person>
            <b:Last>Abril</b:Last>
            <b:First>Johanna</b:First>
          </b:Person>
        </b:NameList>
      </b:Author>
    </b:Author>
    <b:DOI>http://dx.doi.org/10.5209/RECIEM.57178</b:DOI>
    <b:RefOrder>368</b:RefOrder>
  </b:Source>
  <b:Source>
    <b:Tag>Org2013</b:Tag>
    <b:SourceType>JournalArticle</b:SourceType>
    <b:Guid>{F238E2C2-F9BE-4D83-AB58-DBADD4F41B25}</b:Guid>
    <b:Author>
      <b:Author>
        <b:Corporate>Organización de Estados Iberoamericanos OEI</b:Corporate>
      </b:Author>
    </b:Author>
    <b:Title>Estado de la educación musical </b:Title>
    <b:JournalName>sitio Web oficial </b:JournalName>
    <b:Year>2020</b:Year>
    <b:URL>https://oei.int/oficinas/ecuador/noticias</b:URL>
    <b:RefOrder>369</b:RefOrder>
  </b:Source>
  <b:Source>
    <b:Tag>Rol18</b:Tag>
    <b:SourceType>JournalArticle</b:SourceType>
    <b:Guid>{194F78AC-B9E6-43D5-A5EC-04778BF92ABF}</b:Guid>
    <b:Author>
      <b:Author>
        <b:NameList>
          <b:Person>
            <b:Last>Rolando</b:Last>
            <b:First>Angel</b:First>
            <b:Middle>Alvarado</b:Middle>
          </b:Person>
        </b:NameList>
      </b:Author>
    </b:Author>
    <b:Title>La crisis de la educación musical como consecuencia de la decadencia de la institución educativa</b:Title>
    <b:JournalName>Revistade educación </b:JournalName>
    <b:Year>2018</b:Year>
    <b:Pages>42 (2) 1 -12</b:Pages>
    <b:DOI>https://doi.org/10.15517/revedu.v42i2.29055</b:DOI>
    <b:RefOrder>370</b:RefOrder>
  </b:Source>
  <b:Source>
    <b:Tag>Mor201</b:Tag>
    <b:SourceType>JournalArticle</b:SourceType>
    <b:Guid>{65846F3F-E8B9-4E0D-BD0F-1CE171DC9800}</b:Guid>
    <b:Author>
      <b:Author>
        <b:NameList>
          <b:Person>
            <b:Last>Morillo</b:Last>
            <b:First>Génesis</b:First>
            <b:Middle>LisbethAyala</b:Middle>
          </b:Person>
          <b:Person>
            <b:Last>Cedeño</b:Last>
            <b:First>Letty</b:First>
            <b:Middle>AraceliDelgado</b:Middle>
          </b:Person>
          <b:Person>
            <b:Last>Mieles</b:Last>
            <b:First>José</b:First>
            <b:Middle>GrismaldoPico</b:Middle>
          </b:Person>
        </b:NameList>
      </b:Author>
    </b:Author>
    <b:Title>La música como medio de enseñanza aprendizaje de los nuiños del centro de educación inicial Gabriela Mistral</b:Title>
    <b:JournalName>Revista Cognosis</b:JournalName>
    <b:Year>2020</b:Year>
    <b:Pages>5 (2) 1-14</b:Pages>
    <b:URL>https://revistas.utm.edu.ec/index.php/Cognosis/article/view/1968/2607</b:URL>
    <b:RefOrder>371</b:RefOrder>
  </b:Source>
  <b:Source>
    <b:Tag>MarcadorDePosición13</b:Tag>
    <b:SourceType>JournalArticle</b:SourceType>
    <b:Guid>{FFE99813-E19D-49BC-8869-1DE31BCB6267}</b:Guid>
    <b:Author>
      <b:Author>
        <b:NameList>
          <b:Person>
            <b:Last>Espinoza</b:Last>
            <b:First>Manuel</b:First>
            <b:Middle>Alejandro Velecela</b:Middle>
          </b:Person>
        </b:NameList>
      </b:Author>
    </b:Author>
    <b:Title>La educación musical en la formación integral de los niños</b:Title>
    <b:JournalName>Revista de investigación y pedagogía del arte</b:JournalName>
    <b:Year>2020</b:Year>
    <b:Pages>(7) 1-10</b:Pages>
    <b:URL>https://publicaciones.ucuenca.edu.ec/ojs/index.php/revpos/article/download/3018/2063/</b:URL>
    <b:RefOrder>372</b:RefOrder>
  </b:Source>
  <b:Source>
    <b:Tag>Gor18</b:Tag>
    <b:SourceType>JournalArticle</b:SourceType>
    <b:Guid>{B7EF3711-CC94-4757-8FE1-AF37E8C59BAC}</b:Guid>
    <b:Author>
      <b:Author>
        <b:NameList>
          <b:Person>
            <b:Last>Gordon</b:Last>
            <b:First>Floralba</b:First>
            <b:Middle>del Rocío Aguilar</b:Middle>
          </b:Person>
          <b:Person>
            <b:Last>Marín</b:Last>
            <b:First>Daniela</b:First>
            <b:Middle>Alejandra Villacís</b:Middle>
          </b:Person>
          <b:Person>
            <b:Last>Flores</b:Last>
            <b:First>Steven</b:First>
            <b:Middle>Marco Narváez</b:Middle>
          </b:Person>
        </b:NameList>
      </b:Author>
    </b:Author>
    <b:Title>Al mismo tiempo La educación musical como herramienta para el desarrollo de destrezas y habilidades en los estudiantes</b:Title>
    <b:Year>2018</b:Year>
    <b:Pages>9(11) 1-13</b:Pages>
    <b:DOI>https://doi.org/10.29019/tsafiqui.v0i11.484</b:DOI>
    <b:RefOrder>373</b:RefOrder>
  </b:Source>
  <b:Source>
    <b:Tag>Día142</b:Tag>
    <b:SourceType>JournalArticle</b:SourceType>
    <b:Guid>{E8FB09DA-C02F-4959-B3DF-34AF233DFC1E}</b:Guid>
    <b:Author>
      <b:Author>
        <b:NameList>
          <b:Person>
            <b:Last>Díaz</b:Last>
            <b:First>Maritza</b:First>
            <b:Middle>Liliana</b:Middle>
          </b:Person>
          <b:Person>
            <b:Last>Bopp</b:Last>
            <b:First>Rocío</b:First>
            <b:Middle>Morales</b:Middle>
          </b:Person>
          <b:Person>
            <b:Last>Gamba</b:Last>
            <b:First>Wilson</b:First>
            <b:Middle>Díaz</b:Middle>
          </b:Person>
        </b:NameList>
      </b:Author>
    </b:Author>
    <b:Title>La música como recurso pedagógico en la edad preescolar</b:Title>
    <b:JournalName>Revista Infancias Imágenes</b:JournalName>
    <b:Year>2014</b:Year>
    <b:Pages>13  (11) 2-108</b:Pages>
    <b:URL>https://dialnet.unirioja.es/descarga/articulo/4997162.pdf</b:URL>
    <b:RefOrder>374</b:RefOrder>
  </b:Source>
  <b:Source>
    <b:Tag>Ant16</b:Tag>
    <b:SourceType>JournalArticle</b:SourceType>
    <b:Guid>{EBC03227-D62E-46D9-9A90-32D3A12C0130}</b:Guid>
    <b:Author>
      <b:Author>
        <b:NameList>
          <b:Person>
            <b:Last>Ante</b:Last>
            <b:First>Erika</b:First>
            <b:Middle>Maribel Sigcha</b:Middle>
          </b:Person>
          <b:Person>
            <b:Last>Barragán</b:Last>
            <b:First>María</b:First>
            <b:Middle>Fernanda Constante</b:Middle>
          </b:Person>
          <b:Person>
            <b:Last>Gallardo</b:Last>
            <b:First>Yolanda</b:First>
            <b:Middle>Paola Defaz</b:Middle>
          </b:Person>
          <b:Person>
            <b:Last>Cantuña</b:Last>
            <b:First>Johana</b:First>
            <b:Middle>Trávez</b:Middle>
          </b:Person>
          <b:Person>
            <b:Last>Catasú</b:Last>
            <b:First>Wilma</b:First>
            <b:Middle>Ceiro</b:Middle>
          </b:Person>
        </b:NameList>
      </b:Author>
    </b:Author>
    <b:Title>la expresión musical como herramienta para el desarrollo integral en la educación infantil</b:Title>
    <b:JournalName>Didáctica y Educación</b:JournalName>
    <b:Year>2016</b:Year>
    <b:Pages>(6) 1-18</b:Pages>
    <b:URL>https://revistas.ute.edu.ec/index.php/tsafiqui/article/view/484</b:URL>
    <b:RefOrder>375</b:RefOrder>
  </b:Source>
  <b:Source>
    <b:Tag>MarcadorDePosición14</b:Tag>
    <b:SourceType>JournalArticle</b:SourceType>
    <b:Guid>{0D05EDF0-5170-4768-A9FF-B6D1A9E17078}</b:Guid>
    <b:Author>
      <b:Author>
        <b:NameList>
          <b:Person>
            <b:Last>Aguilera</b:Last>
            <b:First>Carmen</b:First>
            <b:Middle>Carrillo</b:Middle>
          </b:Person>
          <b:Person>
            <b:Last>Vallverdú</b:Last>
            <b:First>Laia</b:First>
            <b:Middle>Viladot</b:Middle>
          </b:Person>
          <b:Person>
            <b:Last>Pérez-Moreno</b:Last>
            <b:First>Jéssica</b:First>
          </b:Person>
        </b:NameList>
      </b:Author>
    </b:Author>
    <b:Title>Impacto de la educación musical: una revisión de la literatura científica</b:Title>
    <b:JournalName>Revista Electrónica Complutense de Investigación en Educación Musical</b:JournalName>
    <b:Year>2017</b:Year>
    <b:Pages>(14) 61-74</b:Pages>
    <b:DOI>http://dx.doi.org/10.5209/RECIEM.54828</b:DOI>
    <b:RefOrder>376</b:RefOrder>
  </b:Source>
  <b:Source>
    <b:Tag>Car173</b:Tag>
    <b:SourceType>JournalArticle</b:SourceType>
    <b:Guid>{AD210893-A3D8-4ECB-99E9-AD151FEB0878}</b:Guid>
    <b:Author>
      <b:Author>
        <b:NameList>
          <b:Person>
            <b:Last>Carrasco</b:Last>
            <b:First>Ana</b:First>
            <b:Middle>M. Vernia</b:Middle>
          </b:Person>
        </b:NameList>
      </b:Author>
    </b:Author>
    <b:Title>La Educación Musical en España. Triste realidad y esperanza para el cambio.</b:Title>
    <b:JournalName>Universidad Jaume</b:JournalName>
    <b:Year>2017</b:Year>
    <b:Pages>(1) 1-8</b:Pages>
    <b:URL>https://www.isme.org/sites/default/files/documents/2017.Spanish.pdf</b:URL>
    <b:RefOrder>377</b:RefOrder>
  </b:Source>
  <b:Source>
    <b:Tag>Ced181</b:Tag>
    <b:SourceType>JournalArticle</b:SourceType>
    <b:Guid>{2C5B380B-E855-44B2-8C90-C4A5240DCBF2}</b:Guid>
    <b:Author>
      <b:Author>
        <b:NameList>
          <b:Person>
            <b:Last>Cedeño</b:Last>
            <b:First>Andrea</b:First>
            <b:Middle>K. Alcivar</b:Middle>
          </b:Person>
          <b:Person>
            <b:Last>Sornoza</b:Last>
            <b:First>Johanna</b:First>
            <b:Middle>Zambrano</b:Middle>
          </b:Person>
          <b:Person>
            <b:Last>Mendoza</b:Last>
            <b:First>Juan</b:First>
            <b:Middle>Cruz</b:Middle>
          </b:Person>
        </b:NameList>
      </b:Author>
    </b:Author>
    <b:Title>La enseñanza de la música. Una estrategia pedagógica para la educación inclusiva</b:Title>
    <b:JournalName>Polo del conocimiento</b:JournalName>
    <b:Year>2018</b:Year>
    <b:Pages>28 (3) 135-148</b:Pages>
    <b:DOI>10.23857/pc.v3i12.820</b:DOI>
    <b:RefOrder>378</b:RefOrder>
  </b:Source>
  <b:Source>
    <b:Tag>Jim11</b:Tag>
    <b:SourceType>JournalArticle</b:SourceType>
    <b:Guid>{A71137F3-33B0-4CF6-8156-8999C6A667F6}</b:Guid>
    <b:Author>
      <b:Author>
        <b:NameList>
          <b:Person>
            <b:Last>Jiménez</b:Last>
            <b:First>Gabriela</b:First>
          </b:Person>
          <b:Person>
            <b:Last>Ramirez</b:Last>
            <b:First>Delia</b:First>
          </b:Person>
        </b:NameList>
      </b:Author>
    </b:Author>
    <b:Title>Las Canciones Como Estrategia Para El Aprendizaje De Los Números Naturales Del 1 Al 5 En Niños De 4 Años Del Cercado Del Distrito De San Agustín De Cajas</b:Title>
    <b:JournalName>Universidad Nacional del Centro del Perú</b:JournalName>
    <b:Year>2011</b:Year>
    <b:Pages>(1) 1-148</b:Pages>
    <b:URL>http://repositorio.uncp.edu.pe/bitstream/handle/UNCP/2900/Jimenez%20Quispe.pdf?sequence=1&amp;isAllowed=y</b:URL>
    <b:RefOrder>379</b:RefOrder>
  </b:Source>
  <b:Source>
    <b:Tag>Gar122</b:Tag>
    <b:SourceType>JournalArticle</b:SourceType>
    <b:Guid>{5A9C4DB0-0ADA-4788-A2C2-CC4AF5C04757}</b:Guid>
    <b:Author>
      <b:Author>
        <b:NameList>
          <b:Person>
            <b:Last>García</b:Last>
            <b:First>Marcela</b:First>
            <b:Middle>Amaya</b:Middle>
          </b:Person>
          <b:Person>
            <b:Last>Corrales</b:Last>
            <b:First>Mercedes</b:First>
            <b:Middle>Mardones</b:Middle>
          </b:Person>
        </b:NameList>
      </b:Author>
    </b:Author>
    <b:Title>La música como estrategia didáctica para la enseñanza de una segunda lengua: una revisión teórica</b:Title>
    <b:JournalName>Foro educacional</b:JournalName>
    <b:Year>2012</b:Year>
    <b:Pages>(1) 55-76</b:Pages>
    <b:URL>https://repositorio.une.edu.pe/handle/UNE/1863</b:URL>
    <b:RefOrder>380</b:RefOrder>
  </b:Source>
  <b:Source>
    <b:Tag>Rey173</b:Tag>
    <b:SourceType>JournalArticle</b:SourceType>
    <b:Guid>{CE701BCB-7F40-45DE-A33C-CB969B660D74}</b:Guid>
    <b:Author>
      <b:Author>
        <b:NameList>
          <b:Person>
            <b:Last>Reyes</b:Last>
            <b:First>Dina</b:First>
            <b:Middle>Aracelli</b:Middle>
          </b:Person>
          <b:Person>
            <b:Last>González</b:Last>
            <b:First>Karla</b:First>
            <b:Middle>Vanessa Pérez</b:Middle>
          </b:Person>
        </b:NameList>
      </b:Author>
    </b:Author>
    <b:Title>Implementación del canto como actividad lúdica para, el desarrollo integral de los niños y niñas de infantes</b:Title>
    <b:JournalName>Universidad Autónoma de Nicaragua</b:JournalName>
    <b:Year>2017</b:Year>
    <b:Pages>(1) 1-110</b:Pages>
    <b:URL>https://repositorio.unan.edu.ni/3835/1/51785.pdf</b:URL>
    <b:RefOrder>381</b:RefOrder>
  </b:Source>
  <b:Source>
    <b:Tag>Pin181</b:Tag>
    <b:SourceType>JournalArticle</b:SourceType>
    <b:Guid>{7F5949EE-46B1-458E-98CD-0754D5CBFF3D}</b:Guid>
    <b:Author>
      <b:Author>
        <b:NameList>
          <b:Person>
            <b:Last>Pinto</b:Last>
            <b:First>Iris</b:First>
            <b:Middle>Albina Rios</b:Middle>
          </b:Person>
          <b:Person>
            <b:Last>Rojas</b:Last>
            <b:First>Jackeline</b:First>
            <b:Middle>Julisa</b:Middle>
          </b:Person>
        </b:NameList>
      </b:Author>
    </b:Author>
    <b:Title>La canción como estrategia didáctica para el logro del desarrollo de la expresión oral en los estudiantes del segundo grado de primaria</b:Title>
    <b:JournalName>Universidad Naciona de educación</b:JournalName>
    <b:Year>2018</b:Year>
    <b:Pages>(1) 1-190</b:Pages>
    <b:URL>http://181.176.163.136/bitstream/handle/UNAP/6925/Arcaya_Juli_Yeny_Yaneth_Flores_Llanque_Mariela.pdf?sequence=1&amp;isAllowed=y</b:URL>
    <b:RefOrder>382</b:RefOrder>
  </b:Source>
  <b:Source>
    <b:Tag>Ame141</b:Tag>
    <b:SourceType>JournalArticle</b:SourceType>
    <b:Guid>{62993FEC-2F29-4B20-8AA2-A7F3FC179743}</b:Guid>
    <b:Author>
      <b:Author>
        <b:NameList>
          <b:Person>
            <b:Last>Amezua</b:Last>
            <b:First>Sara</b:First>
            <b:Middle>Alfonso</b:Middle>
          </b:Person>
        </b:NameList>
      </b:Author>
    </b:Author>
    <b:Title>Importancia de la educación musical en la educación músical en al educación infantil</b:Title>
    <b:JournalName>Universidad de la Rioja</b:JournalName>
    <b:Year>2014</b:Year>
    <b:Pages>(1) 1-50</b:Pages>
    <b:URL>https://reunir.unir.net/bitstream/handle/123456789/2494/alfonso.amezua.pdf?sequence=1&amp;isAllowed=y</b:URL>
    <b:RefOrder>383</b:RefOrder>
  </b:Source>
  <b:Source>
    <b:Tag>Mol142</b:Tag>
    <b:SourceType>JournalArticle</b:SourceType>
    <b:Guid>{90AB7311-36D8-4301-8A07-F034409131B9}</b:Guid>
    <b:Author>
      <b:Author>
        <b:NameList>
          <b:Person>
            <b:Last>Molina</b:Last>
            <b:First>Mª</b:First>
            <b:Middle>Teresa García</b:Middle>
          </b:Person>
          <b:Person>
            <b:Last>García</b:Last>
            <b:First>María</b:First>
            <b:Middle>Sara Román</b:Middle>
          </b:Person>
        </b:NameList>
      </b:Author>
    </b:Author>
    <b:Title>La importancia de la música para el desarrollo integral en la etapa de Infantil</b:Title>
    <b:Year>2014</b:Year>
    <b:Pages>(1)1-73</b:Pages>
    <b:URL>https://rodin.uca.es/xmlui/bitstream/handle/10498/16696/16696.pdf</b:URL>
    <b:RefOrder>384</b:RefOrder>
  </b:Source>
  <b:Source>
    <b:Tag>MarcadorDePosición15</b:Tag>
    <b:SourceType>JournalArticle</b:SourceType>
    <b:Guid>{B91F8185-74A0-4DDE-A0E2-4BABBCFAD705}</b:Guid>
    <b:Author>
      <b:Author>
        <b:NameList>
          <b:Person>
            <b:Last>Vega</b:Last>
            <b:First>Lizeth</b:First>
            <b:Middle>Viviana</b:Middle>
          </b:Person>
        </b:NameList>
      </b:Author>
    </b:Author>
    <b:Title>Mi recorrido. Un ejercicio auto etnográfico de relación entre la tradición y la educación formal para el canto</b:Title>
    <b:JournalName>Universidad Pedagógica Nacional</b:JournalName>
    <b:Year>2020</b:Year>
    <b:Pages>(1) 1 -102</b:Pages>
    <b:URL>http://repository.pedagogica.edu.co/bitstream/handle/20.500.12209/12871</b:URL>
    <b:RefOrder>385</b:RefOrder>
  </b:Source>
  <b:Source>
    <b:Tag>Est15</b:Tag>
    <b:SourceType>JournalArticle</b:SourceType>
    <b:Guid>{249BD6E1-0896-4BC6-845A-6ADFB22BA2F8}</b:Guid>
    <b:Title>DOCENCIA EN EDUCACIÓN VOCAL Y CANTO: ADAPTACIÓN A LAS NECESIDADES DEL AULA</b:Title>
    <b:JournalName>EDETANIA</b:JournalName>
    <b:Year>2015</b:Year>
    <b:Pages>(47)205-219</b:Pages>
    <b:Author>
      <b:Author>
        <b:NameList>
          <b:Person>
            <b:Last>Palomo</b:Last>
            <b:First>Esther</b:First>
            <b:Middle>Ruiz</b:Middle>
          </b:Person>
          <b:Person>
            <b:Last>Cámara</b:Last>
            <b:First>Carmen</b:First>
            <b:Middle>Palmero</b:Middle>
          </b:Person>
          <b:Person>
            <b:Last>Martínez</b:Last>
            <b:First>Vanesa</b:First>
            <b:Middle>Baños</b:Middle>
          </b:Person>
        </b:NameList>
      </b:Author>
    </b:Author>
    <b:URL>https://dialnet.unirioja.es/descarga/articulo/5349042.pdf</b:URL>
    <b:RefOrder>386</b:RefOrder>
  </b:Source>
  <b:Source>
    <b:Tag>Jos19</b:Tag>
    <b:SourceType>JournalArticle</b:SourceType>
    <b:Guid>{8D7744A6-002A-4058-9341-315EA10331A8}</b:Guid>
    <b:Title>Pautas para la aplicación de métodos de enseñanza musical desde un enfoque constructivista</b:Title>
    <b:JournalName>Revista electrónica de investigación educativa</b:JournalName>
    <b:Year>2019</b:Year>
    <b:Pages>19(3), 143-157</b:Pages>
    <b:Author>
      <b:Author>
        <b:NameList>
          <b:Person>
            <b:Last>Solís</b:Last>
            <b:First>José</b:First>
            <b:Middle>Luis Navarro</b:Middle>
          </b:Person>
        </b:NameList>
      </b:Author>
    </b:Author>
    <b:DOI>https://doi.org/10.24320/redie.2017.19.3.675 </b:DOI>
    <b:RefOrder>387</b:RefOrder>
  </b:Source>
  <b:Source>
    <b:Tag>MAR19</b:Tag>
    <b:SourceType>JournalArticle</b:SourceType>
    <b:Guid>{C51B1202-2C99-45E8-9818-1E8FB82BAF5F}</b:Guid>
    <b:Author>
      <b:Author>
        <b:NameList>
          <b:Person>
            <b:Last>MARQUEZ</b:Last>
            <b:First>ROGER</b:First>
            <b:Middle>ELISBAN PERLACIO</b:Middle>
          </b:Person>
        </b:NameList>
      </b:Author>
    </b:Author>
    <b:Title>LA MÚSICA TRADICIONAL COMO RECURSO DIDÁCTICO EN EL PROCESO DE APRENDIZAJE Y FORMACIÓN EN EIB</b:Title>
    <b:Year>2019</b:Year>
    <b:Pages>1-107</b:Pages>
    <b:URL>http://repositorio.usil.edu.pe/bitstream/USIL/9200/3/2019_Perlacio-Marquez.pdf</b:URL>
    <b:RefOrder>388</b:RefOrder>
  </b:Source>
  <b:Source>
    <b:Tag>Tej19</b:Tag>
    <b:SourceType>JournalArticle</b:SourceType>
    <b:Guid>{84E22954-1A90-4747-A9FC-32660A7BCCD2}</b:Guid>
    <b:Author>
      <b:Author>
        <b:NameList>
          <b:Person>
            <b:Last>Tejada</b:Last>
            <b:First>Jesús</b:First>
          </b:Person>
          <b:Person>
            <b:Last>Thayer</b:Last>
            <b:First>Tomás</b:First>
          </b:Person>
          <b:Person>
            <b:Last>Arenas</b:Last>
            <b:First>Mario</b:First>
          </b:Person>
        </b:NameList>
      </b:Author>
    </b:Author>
    <b:Title>EL DESEMPEÑO DOCENTE EN EDUCACIÓN MUSICAL DEL PROFESORADO GENERALISTA DE CHILE. UN  ESTUDIO MIXTO EXPLORATORIO</b:Title>
    <b:JournalName>DIDACTICAE</b:JournalName>
    <b:Year>2019</b:Year>
    <b:Pages>7, 30-56</b:Pages>
    <b:URL>DOI: 10.1344/did.2020.7.30-56</b:URL>
    <b:RefOrder>389</b:RefOrder>
  </b:Source>
  <b:Source>
    <b:Tag>Jua19</b:Tag>
    <b:SourceType>JournalArticle</b:SourceType>
    <b:Guid>{69E42D2E-6DA5-4FB1-B85B-C12B380782BF}</b:Guid>
    <b:Title>Revista electrónica Leeme</b:Title>
    <b:JournalName>¿A quién le importa el canto en el aula? Estudio basado en un cuestionario</b:JournalName>
    <b:Year>2019</b:Year>
    <b:Pages>(44)1-23</b:Pages>
    <b:Author>
      <b:Author>
        <b:NameList>
          <b:Person>
            <b:Last>Muñoz</b:Last>
            <b:First>Juan</b:First>
            <b:Middle>Rafael Muñoz</b:Middle>
          </b:Person>
        </b:NameList>
      </b:Author>
    </b:Author>
    <b:DOI>doi: 10.7203/LEEME.44.15631</b:DOI>
    <b:RefOrder>390</b:RefOrder>
  </b:Source>
  <b:Source>
    <b:Tag>Gua17</b:Tag>
    <b:SourceType>JournalArticle</b:SourceType>
    <b:Guid>{CA61A506-CAAA-4AA2-835A-BAC155E2AA8A}</b:Guid>
    <b:Author>
      <b:Author>
        <b:NameList>
          <b:Person>
            <b:Last>Gual</b:Last>
            <b:First>Llorenç</b:First>
            <b:Middle>Gelabert</b:Middle>
          </b:Person>
        </b:NameList>
      </b:Author>
    </b:Author>
    <b:Title>La práctica del canto colectivo como eje transversal de conocimientos actitudes y valores: una propuesta dirigida a alumnos de Grado en Educación Infantil y Primaria</b:Title>
    <b:JournalName>Foro de Educación</b:JournalName>
    <b:Year>2017</b:Year>
    <b:Pages>15  (22) 1-21</b:Pages>
    <b:DOI>doi: http://dx.doi.org/10.14516/fde.505</b:DOI>
    <b:RefOrder>391</b:RefOrder>
  </b:Source>
  <b:Source>
    <b:Tag>Mol143</b:Tag>
    <b:SourceType>JournalArticle</b:SourceType>
    <b:Guid>{1AA44A5D-E21F-4C0E-AFEE-23C744A2DD97}</b:Guid>
    <b:Author>
      <b:Author>
        <b:NameList>
          <b:Person>
            <b:Last>Molina</b:Last>
            <b:First>Mª</b:First>
            <b:Middle>Teresa García</b:Middle>
          </b:Person>
        </b:NameList>
      </b:Author>
    </b:Author>
    <b:Title>La importancia de la música para el desarrollo integral en la etapa de Infantil</b:Title>
    <b:Year>2014</b:Year>
    <b:Pages>1-73</b:Pages>
    <b:URL>https://rodin.uca.es/xmlui/bitstream/handle/10498/16696/16696.pdf</b:URL>
    <b:RefOrder>392</b:RefOrder>
  </b:Source>
  <b:Source>
    <b:Tag>Sar14</b:Tag>
    <b:SourceType>JournalArticle</b:SourceType>
    <b:Guid>{1FBC8EC3-C910-4566-83E7-F6FF2244DAC9}</b:Guid>
    <b:Author>
      <b:Author>
        <b:NameList>
          <b:Person>
            <b:Last>Sardi</b:Last>
            <b:First>Monica</b:First>
          </b:Person>
        </b:NameList>
      </b:Author>
    </b:Author>
    <b:Title>El apoyo: sobre malos entendidos, fuerza y balance</b:Title>
    <b:JournalName>Revista de Investigaciones en Técnica Vocal</b:JournalName>
    <b:Year>2014</b:Year>
    <b:Pages>2(2)11-22</b:Pages>
    <b:URL>http://sedici.unlp.edu.ar/bitstream/handle/10915/44951/Documento_completo.pdf?sequence=1&amp;isAllowed=y</b:URL>
    <b:RefOrder>393</b:RefOrder>
  </b:Source>
  <b:Source>
    <b:Tag>Esp15</b:Tag>
    <b:SourceType>JournalArticle</b:SourceType>
    <b:Guid>{DCFB83A7-BAA6-4ABF-A1A1-B193AA75F4E7}</b:Guid>
    <b:Author>
      <b:Author>
        <b:NameList>
          <b:Person>
            <b:Last>Espinosa</b:Last>
            <b:First>Juan</b:First>
            <b:Middle>Gómez</b:Middle>
          </b:Person>
        </b:NameList>
      </b:Author>
    </b:Author>
    <b:Title>Didáctica de la música</b:Title>
    <b:JournalName>Universidad Internacional de La Rioja, S. A.</b:JournalName>
    <b:Year>2015</b:Year>
    <b:Pages>(1)1-37</b:Pages>
    <b:URL>https://www.unir.net/wp-content/uploads/2015/11/Didactica-musica-capt-3.pdf</b:URL>
    <b:RefOrder>394</b:RefOrder>
  </b:Source>
  <b:Source>
    <b:Tag>Ord182</b:Tag>
    <b:SourceType>JournalArticle</b:SourceType>
    <b:Guid>{8B10A892-FF9C-4837-815A-E05A4EA34B9A}</b:Guid>
    <b:Author>
      <b:Author>
        <b:NameList>
          <b:Person>
            <b:Last>Ordóñez</b:Last>
            <b:First>Henry</b:First>
            <b:Middle>Roa</b:Middle>
          </b:Person>
        </b:NameList>
      </b:Author>
    </b:Author>
    <b:Title>SENSACIONES,IMÁGENES Y METÁFORAS EN LA ENSEÑANZA  DEL CANTO</b:Title>
    <b:JournalName>Universidad Sergio Arboleda</b:JournalName>
    <b:Year>2018</b:Year>
    <b:Pages>1-155</b:Pages>
    <b:URL>https://repository.usergioarboleda.edu.co/bitstream/handle/11232/1186/Sensaciones%20im%C3%A1genes%20met%C3%A1foras%20Canto.pdf?sequence=1&amp;isAllowed=y</b:URL>
    <b:RefOrder>395</b:RefOrder>
  </b:Source>
  <b:Source>
    <b:Tag>Alb172</b:Tag>
    <b:SourceType>JournalArticle</b:SourceType>
    <b:Guid>{BC72A129-40DF-4CD0-A7C3-E2F10167AF1D}</b:Guid>
    <b:Author>
      <b:Author>
        <b:NameList>
          <b:Person>
            <b:Last>Alberdi</b:Last>
            <b:First>Begoña</b:First>
          </b:Person>
        </b:NameList>
      </b:Author>
    </b:Author>
    <b:Title>El primer</b:Title>
    <b:JournalName>Grupo Planeta</b:JournalName>
    <b:Year>2017</b:Year>
    <b:Pages>1-12</b:Pages>
    <b:URL>https://www.elargonauta.com/static/pdf/64638.pdf</b:URL>
    <b:RefOrder>396</b:RefOrder>
  </b:Source>
  <b:Source>
    <b:Tag>Sol203</b:Tag>
    <b:SourceType>JournalArticle</b:SourceType>
    <b:Guid>{51D04311-300F-4C5B-A01E-4BD652F8382E}</b:Guid>
    <b:Author>
      <b:Author>
        <b:NameList>
          <b:Person>
            <b:Last>Solanve</b:Last>
            <b:First>Caignet</b:First>
          </b:Person>
        </b:NameList>
      </b:Author>
    </b:Author>
    <b:Title>Contexto y generalidades de la enseñanza del Canto como Licenciatura en tiempos de COVID-19</b:Title>
    <b:JournalName>Revista de Didáctica Práctica</b:JournalName>
    <b:Year>2020</b:Year>
    <b:Pages>4 (11) 16-21</b:Pages>
    <b:DOI>DOI: 10.35429/JPD.2020.12.4.16.21 </b:DOI>
    <b:RefOrder>397</b:RefOrder>
  </b:Source>
  <b:Source>
    <b:Tag>ROM16</b:Tag>
    <b:SourceType>JournalArticle</b:SourceType>
    <b:Guid>{EE01A034-22BF-455C-A751-CE42B08E40F8}</b:Guid>
    <b:Author>
      <b:Author>
        <b:NameList>
          <b:Person>
            <b:Last>ROMERO</b:Last>
            <b:First>SUJELID</b:First>
            <b:Middle>HERNÁNDEZ</b:Middle>
          </b:Person>
        </b:NameList>
      </b:Author>
    </b:Author>
    <b:Title>LA EDUCACIÓN MUSICAL Y SU RELACIÓN CON EL DESARROLLO COGNITIVO (ATENCIÓN-MEMORIA) Y MOTIVACIONAL DEL NIÑO</b:Title>
    <b:JournalName>UNIVERSIDAD PRIVADA NORBERT WIENER</b:JournalName>
    <b:Year>2016</b:Year>
    <b:Pages>1-160</b:Pages>
    <b:URL>http://repositorio.uwiener.edu.pe/bitstream/handle/123456789/741/MAESTRO-%20M%C3%A9ndez%20L%C3%B3pez%20Francisco%20Alejandro.pdf?sequence=1&amp;isAllowed=y</b:URL>
    <b:RefOrder>398</b:RefOrder>
  </b:Source>
  <b:Source>
    <b:Tag>Puc20</b:Tag>
    <b:SourceType>JournalArticle</b:SourceType>
    <b:Guid>{0E498531-5627-44D4-A505-DA30A3254FDD}</b:Guid>
    <b:Author>
      <b:Author>
        <b:NameList>
          <b:Person>
            <b:Last>Pucha</b:Last>
            <b:First>Sonia</b:First>
            <b:Middle>Paulina Alarcón</b:Middle>
          </b:Person>
        </b:NameList>
      </b:Author>
    </b:Author>
    <b:Title>La música y el aprendizaje de lectura y escritura de niños de 2° año de educación básica</b:Title>
    <b:JournalName>Universidad Andina Simón Bolívar</b:JournalName>
    <b:Year>2020</b:Year>
    <b:Pages>(1)1-71</b:Pages>
    <b:URL>https://repositorio.uasb.edu.ec/bitstream/10644/7337/1/T3210-MIE-Alarcon-La%20musica.pdf</b:URL>
    <b:RefOrder>399</b:RefOrder>
  </b:Source>
  <b:Source>
    <b:Tag>Pal151</b:Tag>
    <b:SourceType>JournalArticle</b:SourceType>
    <b:Guid>{7338F9A9-704A-4A42-A8B1-0E983E21C086}</b:Guid>
    <b:Author>
      <b:Author>
        <b:NameList>
          <b:Person>
            <b:Last>Palomo</b:Last>
            <b:First>Esther</b:First>
            <b:Middle>Ruiz</b:Middle>
          </b:Person>
          <b:Person>
            <b:Last>Cámara</b:Last>
            <b:First>Carmen</b:First>
            <b:Middle>Palmero</b:Middle>
          </b:Person>
          <b:Person>
            <b:Last>Martínez</b:Last>
            <b:First>Vanesa</b:First>
            <b:Middle>Baños</b:Middle>
          </b:Person>
        </b:NameList>
      </b:Author>
    </b:Author>
    <b:Title>Docencia en educación vocal y canto: adaptación a las necesidades del aula</b:Title>
    <b:JournalName>Edetania</b:JournalName>
    <b:Year>2015</b:Year>
    <b:Pages>(45) 1-16</b:Pages>
    <b:URL>https://dialnet.unirioja.es/descarga/articulo/5349042.pdf</b:URL>
    <b:RefOrder>400</b:RefOrder>
  </b:Source>
  <b:Source>
    <b:Tag>Cri19</b:Tag>
    <b:SourceType>JournalArticle</b:SourceType>
    <b:Guid>{FD91152B-544A-4E3F-BBBD-B8B9F0BAFA58}</b:Guid>
    <b:Author>
      <b:Author>
        <b:NameList>
          <b:Person>
            <b:Last>Cristino</b:Last>
            <b:First>Jessica</b:First>
            <b:Middle>Rodríguez</b:Middle>
          </b:Person>
        </b:NameList>
      </b:Author>
    </b:Author>
    <b:Title>Recursos, metodologías y juegos para el desarrollo de la voz infantil en educación primaria</b:Title>
    <b:JournalName>Tercio creciente Revista de Estudios en Sociedad, </b:JournalName>
    <b:Year>2019</b:Year>
    <b:Pages>(16) 47-94</b:Pages>
    <b:DOI>DOI: https://dx.doi.org/10.17561/rtc. </b:DOI>
    <b:RefOrder>401</b:RefOrder>
  </b:Source>
  <b:Source>
    <b:Tag>Cai20</b:Tag>
    <b:SourceType>JournalArticle</b:SourceType>
    <b:Guid>{2EC5BA23-8582-4AE7-9EDE-942F1101DC0A}</b:Guid>
    <b:Author>
      <b:Author>
        <b:NameList>
          <b:Person>
            <b:Last>Caignet</b:Last>
            <b:First>Solanve</b:First>
          </b:Person>
        </b:NameList>
      </b:Author>
    </b:Author>
    <b:Title>Contexto y generalidades de la enseñanza del Canto como Licenciatura en tiempos de COVID-19</b:Title>
    <b:JournalName>Revista didáctica práctica</b:JournalName>
    <b:Year>2020</b:Year>
    <b:Pages>4 (11) 16-21</b:Pages>
    <b:DOI>DOI: 10.35429/JPD.2020.12.4.16.21</b:DOI>
    <b:RefOrder>402</b:RefOrder>
  </b:Source>
  <b:Source>
    <b:Tag>Tor163</b:Tag>
    <b:SourceType>JournalArticle</b:SourceType>
    <b:Guid>{A2B6358B-11AF-4448-9957-666D49BA4A10}</b:Guid>
    <b:Author>
      <b:Author>
        <b:NameList>
          <b:Person>
            <b:Last>Torre</b:Last>
            <b:First>Asier</b:First>
            <b:Middle>Estrada</b:Middle>
          </b:Person>
        </b:NameList>
      </b:Author>
    </b:Author>
    <b:Title>Las Canciones Infantiles como Herramienta en la etapa (0-6)</b:Title>
    <b:JournalName>Universidad de Cantabria</b:JournalName>
    <b:Year>2016</b:Year>
    <b:Pages>(1)1-56</b:Pages>
    <b:URL>https://repositorio.unican.es/xmlui/bitstream/handle/10902/8640/EstradaTorreAsier.pdf?sequence=1</b:URL>
    <b:RefOrder>403</b:RefOrder>
  </b:Source>
  <b:Source>
    <b:Tag>Gar131</b:Tag>
    <b:SourceType>JournalArticle</b:SourceType>
    <b:Guid>{66ABAC2E-E93E-481A-9041-140286289E1E}</b:Guid>
    <b:Author>
      <b:Author>
        <b:NameList>
          <b:Person>
            <b:Last>Garzón</b:Last>
            <b:First>Sarai</b:First>
            <b:Middle>Montes</b:Middle>
          </b:Person>
        </b:NameList>
      </b:Author>
    </b:Author>
    <b:Title>El canto en la Educación Primaria</b:Title>
    <b:JournalName>Universidad Pública de Navarra</b:JournalName>
    <b:Year>2013</b:Year>
    <b:Pages>(1)1-62</b:Pages>
    <b:URL>http://academica-e.unavarra.es/bitstream/handle/2454/8206/EL%20CANTO%20EN%20LA%20EDUCACI%C3%93N%20PRIMARIA.pdf?sequence=1</b:URL>
    <b:RefOrder>404</b:RefOrder>
  </b:Source>
  <b:Source>
    <b:Tag>Gor181</b:Tag>
    <b:SourceType>JournalArticle</b:SourceType>
    <b:Guid>{56E1B9E3-BB89-4CC2-8159-A7FC96427E50}</b:Guid>
    <b:Author>
      <b:Author>
        <b:NameList>
          <b:Person>
            <b:Last>Gordon</b:Last>
            <b:First>Floralba</b:First>
            <b:Middle>del Rocío Aguilar</b:Middle>
          </b:Person>
          <b:Person>
            <b:Last>Marín</b:Last>
            <b:First>Daniela</b:First>
            <b:Middle>Alejandra Villacís</b:Middle>
          </b:Person>
          <b:Person>
            <b:Last>Flores</b:Last>
            <b:First>Steven</b:First>
            <b:Middle>Marco Narváez</b:Middle>
          </b:Person>
        </b:NameList>
      </b:Author>
    </b:Author>
    <b:Title>LA EDUCACIÓN MUSICAL COMO HERRAMIENTA PARA EL DESARROLLO DE DESTREZAS Y HABILIDADES EN LOS ESTUDIANTE</b:Title>
    <b:JournalName>Universidad UTE Revista de Investigación Científica</b:JournalName>
    <b:Year>2018</b:Year>
    <b:Pages>(11) 1-82</b:Pages>
    <b:URL>https://revistas.ute.edu.ec/index.php/tsafiqui/article/download/484/403/804</b:URL>
    <b:RefOrder>405</b:RefOrder>
  </b:Source>
  <b:Source>
    <b:Tag>Muñ18</b:Tag>
    <b:SourceType>JournalArticle</b:SourceType>
    <b:Guid>{AA3A118A-31F5-4B78-9700-2F2F658F38B0}</b:Guid>
    <b:Author>
      <b:Author>
        <b:NameList>
          <b:Person>
            <b:Last>Muñoz</b:Last>
            <b:First>Geoconda</b:First>
            <b:Middle>Barahona</b:Middle>
          </b:Person>
          <b:Person>
            <b:Last>Ramirez</b:Last>
            <b:First>Lorena</b:First>
            <b:Middle>Vargas</b:Middle>
          </b:Person>
        </b:NameList>
      </b:Author>
    </b:Author>
    <b:Title>Estimulación musical y desarrollo de las destrezas de los niños y niñas de 3 – 4 años</b:Title>
    <b:JournalName>UNEMI</b:JournalName>
    <b:Year>2018</b:Year>
    <b:Pages>(1)1-141</b:Pages>
    <b:URL>epositorio.unemi.edu.ec/bitstream/123456789/1036/3/ESTIMULACIÓN%20MUSICAL%20Y%20DESARROLLO%20DE%20LAS%20DESTREZAS%20DE%20LOS%20NIÑOS%20Y%20NIÑAS%20DE%203%20–%204%20AÑOS.pdf</b:URL>
    <b:RefOrder>406</b:RefOrder>
  </b:Source>
  <b:Source xmlns:b="http://schemas.openxmlformats.org/officeDocument/2006/bibliography">
    <b:Tag>10213</b:Tag>
    <b:SourceType>Case</b:SourceType>
    <b:Guid>{7B852CEB-0885-4541-A13D-96AA560A681B}</b:Guid>
    <b:Title>0380-10-EP</b:Title>
    <b:Year>2013</b:Year>
    <b:City>Quito</b:City>
    <b:CaseNumber>Caso N° 0380-10-EP</b:CaseNumber>
    <b:Month>12</b:Month>
    <b:Day>04</b:Day>
    <b:ShortTitle>102-13-SEP-CC</b:ShortTitle>
    <b:YearAccessed>2020</b:YearAccessed>
    <b:MonthAccessed>junio</b:MonthAccessed>
    <b:DayAccessed>05</b:DayAccessed>
    <b:URL>http://portal.corteconstitucional.gob.ec:8494/FichaRelatoria.aspx?numdocumento=102-13-SEP-CC</b:URL>
    <b:Court>Doctores Patricio Herrera Betancourt, Alfonso Luz Yunes y Manuel Viteri Olvera</b:Court>
    <b:RefOrder>407</b:RefOrder>
  </b:Source>
  <b:Source>
    <b:Tag>00116</b:Tag>
    <b:SourceType>Case</b:SourceType>
    <b:Guid>{9B254D26-6DE1-450C-B925-A3BFF4E1F329}</b:Guid>
    <b:Title>0530-10-JP</b:Title>
    <b:CaseNumber>0530-10-JP</b:CaseNumber>
    <b:Year>2016</b:Year>
    <b:Month>03</b:Month>
    <b:Day>22</b:Day>
    <b:City>Quito</b:City>
    <b:ShortTitle>001-16-PJO-CC</b:ShortTitle>
    <b:YearAccessed>2020</b:YearAccessed>
    <b:MonthAccessed>junio</b:MonthAccessed>
    <b:DayAccessed>05</b:DayAccessed>
    <b:URL>http://doc0.corteconstitucional.gob.ec:8080/alfresco/d/d/workspace/SpacesStore/71a7f53a-d379-4fc4-89ef-764ff71808aa/0530-10-JP-sen.pdf?guest=true</b:URL>
    <b:Court>Doctores Edgar Zárate Zárate, Roberto Bhrunis Lemarie y Ruth Seni Pinoargote</b:Court>
    <b:RefOrder>408</b:RefOrder>
  </b:Source>
  <b:Source>
    <b:Tag>CCE</b:Tag>
    <b:SourceType>Case</b:SourceType>
    <b:Guid>{8F40AC65-CEA5-4B31-919E-63A2A8346ED2}</b:Guid>
    <b:Title>CCE-EP-179-13 SEP-CC</b:Title>
    <b:Year>2020</b:Year>
    <b:CaseNumber>179-13-EP</b:CaseNumber>
    <b:Court>Hernan Salgado Pesantes,Carmen Corral ponce y Ramiro Ávila Santamaría</b:Court>
    <b:Month>03</b:Month>
    <b:Day>04</b:Day>
    <b:City>Quito</b:City>
    <b:AbbreviatedCaseNumber>Sentencia No. 179-13-EP/20</b:AbbreviatedCaseNumber>
    <b:YearAccessed>2020</b:YearAccessed>
    <b:MonthAccessed>05</b:MonthAccessed>
    <b:DayAccessed>25</b:DayAccessed>
    <b:URL>http://doc.corteconstitucional.gob.ec:8080/alfresco/d/d/workspace/SpacesStore/ce18c87f-edd6-4844-a219-0b67e6152a5f/0179-13-EP-sen%2bvoto-salvado.pdf</b:URL>
    <b:RefOrder>409</b:RefOrder>
  </b:Source>
  <b:Source>
    <b:Tag>CCE13</b:Tag>
    <b:SourceType>Case</b:SourceType>
    <b:Guid>{0888A3B2-8A22-41E8-A26A-34EF8F3557D4}</b:Guid>
    <b:Title>CCE-EP-052-13 SEP-CC</b:Title>
    <b:Year>2013</b:Year>
    <b:CaseNumber>1078-11-P</b:CaseNumber>
    <b:Court>Ruth Seni Pinoargote, Edgar Zarate Zarate y Hernando Morales Vinueza </b:Court>
    <b:Month>Agosto</b:Month>
    <b:Day>07</b:Day>
    <b:City>Quito</b:City>
    <b:AbbreviatedCaseNumber>Sentencia N° 052-13-SEP-CC </b:AbbreviatedCaseNumber>
    <b:YearAccessed>2020</b:YearAccessed>
    <b:MonthAccessed>05</b:MonthAccessed>
    <b:DayAccessed>25</b:DayAccessed>
    <b:URL>http://doc.corteconstitucional.gob.ec:8080/alfresco/d/d/workspace/SpacesStore/0ed97b2b-fa9d-465b-ab30-2194a75446d8/1078-11-ep-sen-mrvc.pdf?guest=true</b:URL>
    <b:RefOrder>410</b:RefOrder>
  </b:Source>
  <b:Source>
    <b:Tag>CCE14</b:Tag>
    <b:SourceType>Case</b:SourceType>
    <b:Guid>{B37F8965-526B-4288-A7D5-000ED4962551}</b:Guid>
    <b:Title>CCE-EP-151-14 SEP-CC</b:Title>
    <b:Year>2014</b:Year>
    <b:CaseNumber>CASO N.° 0119-12-EP</b:CaseNumber>
    <b:Court>Patricio Pazmiño Freiré, Edgar Zárate Zárate y Manuel Viteri Olvera</b:Court>
    <b:Month>Octubre</b:Month>
    <b:Day>7</b:Day>
    <b:City>Quito</b:City>
    <b:AbbreviatedCaseNumber>Sentencia N.° 151-14-SEP-CC CASO N.° 0119-12-EP</b:AbbreviatedCaseNumber>
    <b:YearAccessed>2020</b:YearAccessed>
    <b:MonthAccessed>Mayo</b:MonthAccessed>
    <b:DayAccessed>25</b:DayAccessed>
    <b:URL>http://doc.corteconstitucional.gob.ec:8080/alfresco/d/d/workspace/SpacesStore/27f6206f-5d53-4364-a177-81a733c910bd/0119-12-ep-sen.pdf?guest=true</b:URL>
    <b:RefOrder>411</b:RefOrder>
  </b:Source>
  <b:Source>
    <b:Tag>CCE16</b:Tag>
    <b:SourceType>Book</b:SourceType>
    <b:Guid>{C3C3C01E-AB71-4C88-B702-0B341596C7FD}</b:Guid>
    <b:Title>Código Procesal Constitucional</b:Title>
    <b:Month>Marzo</b:Month>
    <b:Day>22</b:Day>
    <b:City>Lima</b:City>
    <b:YearAccessed>2020</b:YearAccessed>
    <b:MonthAccessed>Mayo</b:MonthAccessed>
    <b:DayAccessed>25</b:DayAccessed>
    <b:URL>https://www.tc.gob.pe/tc/private/adjuntos/transparencia/pdf/marco_legal/Codigo_Procesal.pdf</b:URL>
    <b:CountryRegion>Perú</b:CountryRegion>
    <b:Volume>Ley 28237 del 28 de mayo de 2004</b:Volume>
    <b:Year>2004</b:Year>
    <b:RefOrder>412</b:RefOrder>
  </b:Source>
  <b:Source>
    <b:Tag>SU118</b:Tag>
    <b:SourceType>Case</b:SourceType>
    <b:Guid>{EE1FD2DC-4DC0-42DD-9FC6-44112C6173CD}</b:Guid>
    <b:Title>SU108/18</b:Title>
    <b:Year>2018</b:Year>
    <b:CaseNumber> SU108/18</b:CaseNumber>
    <b:Court>Alejandro Linares Cantillo, Carlos Bernal Pulido, Diana Fajardo Rivera, Luis Guillermo Guerrero Pérez, Antonio José Lizarazo Ocampo, Gloria Stella Ortiz Delgado, Cristina Pardo Schlesinger,  José Fernando Reyes Cuartas y Alberto Rojas Ríos</b:Court>
    <b:Month>Noviembre</b:Month>
    <b:Day>16</b:Day>
    <b:YearAccessed>2020</b:YearAccessed>
    <b:MonthAccessed>Mayo</b:MonthAccessed>
    <b:DayAccessed>25</b:DayAccessed>
    <b:URL>https://www.corteconstitucional.gov.co/relatoria/2018/SU108-18.htm</b:URL>
    <b:RefOrder>413</b:RefOrder>
  </b:Source>
  <b:Source>
    <b:Tag>Bol16</b:Tag>
    <b:SourceType>JournalArticle</b:SourceType>
    <b:Guid>{E5F49C78-3454-40E2-A3C1-9E14DEFABB59}</b:Guid>
    <b:Title>El plazo razonable como garantía del debido proceso: análisis comparativo de los estándares actuales en el Sistema Interamericano y en el TC peruano.Gaceta Constitucional</b:Title>
    <b:JournalName>Gaceta Constitucional: Análisis y Crítica</b:JournalName>
    <b:Year>2016</b:Year>
    <b:Pages>92</b:Pages>
    <b:City>Lima</b:City>
    <b:Month>Agosto</b:Month>
    <b:Publisher>Universidad de San Martín de Porres</b:Publisher>
    <b:Volume>104</b:Volume>
    <b:URL>https://www.academia.edu/27626755/El_plazo_razonable_como_garant%C3%ADa_del_debido_proceso_an%C3%A1lisis_comparativo_de_los_est%C3%A1ndares_actuales_en_el_Sistema_Interamericano_y_en_el_TC_peruano</b:URL>
    <b:Author>
      <b:Author>
        <b:NameList>
          <b:Person>
            <b:Last>Bolañoz Salazar</b:Last>
            <b:Middle>Ricardo</b:Middle>
            <b:First>Elard</b:First>
          </b:Person>
          <b:Person>
            <b:Last>Ugáz Marquina</b:Last>
            <b:Middle>Stephani</b:Middle>
            <b:First>Rosemary </b:First>
          </b:Person>
        </b:NameList>
      </b:Author>
    </b:Author>
    <b:RefOrder>414</b:RefOrder>
  </b:Source>
  <b:Source xmlns:b="http://schemas.openxmlformats.org/officeDocument/2006/bibliography">
    <b:Tag>CAD69</b:Tag>
    <b:SourceType>Case</b:SourceType>
    <b:Guid>{EF987759-B02E-4D33-AB2C-368359189607}</b:Guid>
    <b:Title>CADH</b:Title>
    <b:Year>1969</b:Year>
    <b:RefOrder>415</b:RefOrder>
  </b:Source>
  <b:Source>
    <b:Tag>PID66</b:Tag>
    <b:SourceType>Book</b:SourceType>
    <b:Guid>{0E9A8526-28C4-4D42-A12B-1B28366B17F5}</b:Guid>
    <b:Title>Pacto Internacional de Derechos Civiles y Políticos</b:Title>
    <b:Year>1966</b:Year>
    <b:City>Quito</b:City>
    <b:Publisher>FIELWEB</b:Publisher>
    <b:StateProvince>Pichincha</b:StateProvince>
    <b:CountryRegion>Ecuador</b:CountryRegion>
    <b:Volume>Registro Oficial No. 101 , 24 de Enero 1969</b:Volume>
    <b:ShortTitle>PIDCP</b:ShortTitle>
    <b:YearAccessed>2020</b:YearAccessed>
    <b:MonthAccessed>Mayo</b:MonthAccessed>
    <b:DayAccessed>26</b:DayAccessed>
    <b:URL>https://www.fielweb.com/Index.aspx?157Rabf6ik654#</b:URL>
    <b:RefOrder>416</b:RefOrder>
  </b:Source>
  <b:Source>
    <b:Tag>LOG09</b:Tag>
    <b:SourceType>Book</b:SourceType>
    <b:Guid>{84625D5B-E545-4BB8-A016-7A6D90C00A6D}</b:Guid>
    <b:Title>Ley Orgánica de Garantías Jurisdiccionales y Control Constitucional</b:Title>
    <b:Year>2009</b:Year>
    <b:City>Quito</b:City>
    <b:Publisher>Fielweb</b:Publisher>
    <b:StateProvince>Pichincha</b:StateProvince>
    <b:CountryRegion>Ecuador</b:CountryRegion>
    <b:Volume>Segundo Suplemento del Registro Oficial No.52 , 22 de Octubre 2009</b:Volume>
    <b:ShortTitle>LOGJCC</b:ShortTitle>
    <b:YearAccessed>2020</b:YearAccessed>
    <b:MonthAccessed>Mayo</b:MonthAccessed>
    <b:DayAccessed>26</b:DayAccessed>
    <b:URL>https://www.fielweb.com/Index.aspx?157Rabf6ik654#</b:URL>
    <b:RefOrder>417</b:RefOrder>
  </b:Source>
  <b:Source>
    <b:Tag>MarcadorDePosición16</b:Tag>
    <b:SourceType>JournalArticle</b:SourceType>
    <b:Guid>{0231ED1B-B691-455D-AD8B-458D22B796DF}</b:Guid>
    <b:Title>El principio de inmediatez de la acción de tutela. ¿Una barrera para la protección judicial de los derechos fundamentales?</b:Title>
    <b:Year>2017</b:Year>
    <b:Month>Junio</b:Month>
    <b:Day>1</b:Day>
    <b:URL>https://revistas.unilibre.edu.co/index.php/entramado/article/view/402</b:URL>
    <b:JournalName>Entramado</b:JournalName>
    <b:Pages>125</b:Pages>
    <b:City>Antioquia</b:City>
    <b:Publisher>Universidad Libre de Colombia</b:Publisher>
    <b:Volume>13</b:Volume>
    <b:Issue>1</b:Issue>
    <b:YearAccessed>2020</b:YearAccessed>
    <b:MonthAccessed>mayo</b:MonthAccessed>
    <b:DayAccessed>25</b:DayAccessed>
    <b:DOI>0.18041/entramado.2017v13n1.25140</b:DOI>
    <b:Author>
      <b:Author>
        <b:NameList>
          <b:Person>
            <b:Last>Cano-Blandón</b:Last>
            <b:Middle>Fernanda</b:Middle>
            <b:First>Luisa</b:First>
          </b:Person>
        </b:NameList>
      </b:Author>
    </b:Author>
    <b:RefOrder>418</b:RefOrder>
  </b:Source>
  <b:Source>
    <b:Tag>Cas18</b:Tag>
    <b:SourceType>JournalArticle</b:SourceType>
    <b:Guid>{7B59F111-979E-4262-BA14-1057BFD1623C}</b:Guid>
    <b:Title>Alcance del principio iura novit curia en la responsabilidad del Estado colombiano</b:Title>
    <b:JournalName>Revista VirtualVia Inveniendi et Iudicandi</b:JournalName>
    <b:Year>2018</b:Year>
    <b:Pages>174</b:Pages>
    <b:City>Bogotá</b:City>
    <b:Month>Abril</b:Month>
    <b:Day>19</b:Day>
    <b:Publisher>Universidad de Santo Tomás</b:Publisher>
    <b:Volume>13</b:Volume>
    <b:Issue>1</b:Issue>
    <b:YearAccessed>2020</b:YearAccessed>
    <b:MonthAccessed>Mayo</b:MonthAccessed>
    <b:DayAccessed>25</b:DayAccessed>
    <b:URL>https://revistas.usantotomas.edu.co/index.php/viei/article/view/4270</b:URL>
    <b:DOI>https://doi.org/10.15332/s1909-0528.2018.0001.06</b:DOI>
    <b:Author>
      <b:Author>
        <b:NameList>
          <b:Person>
            <b:Last>Castro Núñez</b:Last>
            <b:Middle>José</b:Middle>
            <b:First>Juan</b:First>
          </b:Person>
        </b:NameList>
      </b:Author>
    </b:Author>
    <b:RefOrder>419</b:RefOrder>
  </b:Source>
  <b:Source>
    <b:Tag>MarcadorDePosición17</b:Tag>
    <b:SourceType>Book</b:SourceType>
    <b:Guid>{F8D75CDF-7752-4DE1-86AA-82369E8C79B3}</b:Guid>
    <b:Title>Debido Proceso</b:Title>
    <b:Year>2016</b:Year>
    <b:City>Quito</b:City>
    <b:Publisher>Corporación de Estudios y Publicaciones</b:Publisher>
    <b:Author>
      <b:Author>
        <b:NameList>
          <b:Person>
            <b:Last>Oyarte</b:Last>
            <b:First>Rafael</b:First>
          </b:Person>
        </b:NameList>
      </b:Author>
    </b:Author>
    <b:CountryRegion>Ecuador</b:CountryRegion>
    <b:Pages>361</b:Pages>
    <b:Edition>Primera</b:Edition>
    <b:RefOrder>420</b:RefOrder>
  </b:Source>
  <b:Source>
    <b:Tag>CRE081</b:Tag>
    <b:SourceType>Book</b:SourceType>
    <b:Guid>{5D8EAFB7-DC7C-4D0A-B20B-3B49F0D9ED95}</b:Guid>
    <b:Title>Constitución de la República del Ecuador</b:Title>
    <b:CaseNumber>11</b:CaseNumber>
    <b:Court>Art.11 num. 6</b:Court>
    <b:Year>2008</b:Year>
    <b:City>Montecristi</b:City>
    <b:Publisher>FIELWEB</b:Publisher>
    <b:StateProvince>Manabí</b:StateProvince>
    <b:CountryRegion>Ecuador</b:CountryRegion>
    <b:ShortTitle>CRE</b:ShortTitle>
    <b:YearAccessed>2020</b:YearAccessed>
    <b:MonthAccessed>Mayo</b:MonthAccessed>
    <b:DayAccessed>26</b:DayAccessed>
    <b:URL>https://www.fielweb.com/Index.aspx?157Rabf6ik654#</b:URL>
    <b:Volume>Registro Oficial No. 449, 20 de Octubre 2008</b:Volume>
    <b:RefOrder>421</b:RefOrder>
  </b:Source>
  <b:Source>
    <b:Tag>Car09</b:Tag>
    <b:SourceType>InternetSite</b:SourceType>
    <b:Guid>{2B5FE5E8-4608-456A-A650-8A1851345B41}</b:Guid>
    <b:Title>sinc La ciencia es noticia</b:Title>
    <b:Year>2009</b:Year>
    <b:Month>Noviembre</b:Month>
    <b:Day>23</b:Day>
    <b:YearAccessed>2015</b:YearAccessed>
    <b:MonthAccessed>Septiembre</b:MonthAccessed>
    <b:DayAccessed>28</b:DayAccessed>
    <b:URL>http://www.agenciasinc.es/Entrevistas/La-investigacion-y-el-derecho-deben-ir-de-la-mano-en-la-medida-de-lo-posible</b:URL>
    <b:Author>
      <b:Author>
        <b:NameList>
          <b:Person>
            <b:Last>Casabona</b:Last>
            <b:First>Carlos</b:First>
            <b:Middle>María Romeo</b:Middle>
          </b:Person>
        </b:NameList>
      </b:Author>
    </b:Author>
    <b:RefOrder>422</b:RefOrder>
  </b:Source>
  <b:Source>
    <b:Tag>GEl</b:Tag>
    <b:SourceType>InternetSite</b:SourceType>
    <b:Guid>{FA15F4ED-2A44-4363-B4A9-3F0CAEA4EBEB}</b:Guid>
    <b:Title>G. Elias y Muñoz Abogados.</b:Title>
    <b:Author>
      <b:Author>
        <b:NameList>
          <b:Person>
            <b:Last>Muñoz</b:Last>
            <b:First>G.</b:First>
            <b:Middle>Elias y</b:Middle>
          </b:Person>
        </b:NameList>
      </b:Author>
    </b:Author>
    <b:URL>http://www.eliasymunozabogados.com/diccionario-juridico/litispendencia</b:URL>
    <b:Year>2014</b:Year>
    <b:Month>Noviembre</b:Month>
    <b:Day>24</b:Day>
    <b:RefOrder>423</b:RefOrder>
  </b:Source>
  <b:Source>
    <b:Tag>CON08</b:Tag>
    <b:SourceType>Book</b:SourceType>
    <b:Guid>{49DA1348-60AD-4A2B-AF57-C09F36D164A9}</b:Guid>
    <b:Title>CONSTITUCIÓN DE LA REPÚBLICA DEL ECUADOR</b:Title>
    <b:Year>2008</b:Year>
    <b:RefOrder>424</b:RefOrder>
  </b:Source>
  <b:Source>
    <b:Tag>Cas10</b:Tag>
    <b:SourceType>Case</b:SourceType>
    <b:Guid>{A769843D-2666-433E-8D86-2F71F89F86C9}</b:Guid>
    <b:Title>Casación</b:Title>
    <b:CaseNumber>1518-2009 </b:CaseNumber>
    <b:Court>LIMA</b:Court>
    <b:Year>2010</b:Year>
    <b:Month>Marzo </b:Month>
    <b:Day>06 </b:Day>
    <b:RefOrder>425</b:RefOrder>
  </b:Source>
  <b:Source>
    <b:Tag>Mat</b:Tag>
    <b:SourceType>JournalArticle</b:SourceType>
    <b:Guid>{D35D099A-16D8-43F6-B3F3-7CB707DA8381}</b:Guid>
    <b:Title>“Actuaciones judiciales, notificaciones, resoluciones judiciales y el juicio ordinario”</b:Title>
    <b:Pages>90</b:Pages>
    <b:Author>
      <b:Author>
        <b:NameList>
          <b:Person>
            <b:Last>Maturana</b:Last>
            <b:First>Cristian</b:First>
          </b:Person>
        </b:NameList>
      </b:Author>
    </b:Author>
    <b:JournalName>Fallos y sentencias</b:JournalName>
    <b:Year>2014</b:Year>
    <b:RefOrder>426</b:RefOrder>
  </b:Source>
  <b:Source>
    <b:Tag>Rom14</b:Tag>
    <b:SourceType>Book</b:SourceType>
    <b:Guid>{DE992ACB-DC27-4E9A-8973-E162DEDA3461}</b:Guid>
    <b:Author>
      <b:Author>
        <b:NameList>
          <b:Person>
            <b:Last>Romero</b:Last>
            <b:First>Alejandro</b:First>
          </b:Person>
        </b:NameList>
      </b:Author>
    </b:Author>
    <b:Title>La Cosa Juzgada en el Proceso Civil Chileno</b:Title>
    <b:Year>2014</b:Year>
    <b:Pages>Págs. 56 y 62</b:Pages>
    <b:Publisher>Editorial Jurídica de Chile</b:Publisher>
    <b:RefOrder>427</b:RefOrder>
  </b:Source>
  <b:Source>
    <b:Tag>TOR12</b:Tag>
    <b:SourceType>Report</b:SourceType>
    <b:Guid>{FB30FF14-AD46-47A3-B7A5-FB00C3FA9866}</b:Guid>
    <b:Author>
      <b:Author>
        <b:NameList>
          <b:Person>
            <b:Last>TORRES</b:Last>
            <b:First>JAIME</b:First>
            <b:Middle>VEGAS</b:Middle>
          </b:Person>
        </b:NameList>
      </b:Author>
    </b:Author>
    <b:Title>LA EFICACIA EXCLUYENTE DE LA LITISPENDENCIA</b:Title>
    <b:Year>2012</b:Year>
    <b:Publisher>REDUR</b:Publisher>
    <b:RefOrder>428</b:RefOrder>
  </b:Source>
  <b:Source>
    <b:Tag>Cas08</b:Tag>
    <b:SourceType>Case</b:SourceType>
    <b:Guid>{F75B21F5-FF7F-4593-BA3C-183F67AE0BE9}</b:Guid>
    <b:Title>Casación</b:Title>
    <b:CaseNumber>1036-2007</b:CaseNumber>
    <b:Year>2008</b:Year>
    <b:Month>Marzo </b:Month>
    <b:Day>01 </b:Day>
    <b:RefOrder>429</b:RefOrder>
  </b:Source>
  <b:Source>
    <b:Tag>Wor08</b:Tag>
    <b:SourceType>InternetSite</b:SourceType>
    <b:Guid>{F45BC112-8EE3-4837-99FD-DA5A5764E61C}</b:Guid>
    <b:Title>WordPress.com site</b:Title>
    <b:Year>2008</b:Year>
    <b:Month>Marzo</b:Month>
    <b:Day>24</b:Day>
    <b:URL>https://fcotapiar.wordpress.com/2008/03/24/litispendencia/</b:URL>
    <b:RefOrder>430</b:RefOrder>
  </b:Source>
  <b:Source>
    <b:Tag>Sanp6</b:Tag>
    <b:SourceType>Book</b:SourceType>
    <b:Guid>{A33A4BA7-B7FD-4E03-B90C-C7C99E343DF5}</b:Guid>
    <b:Title>La transformación de la Justicia, Ministerio de Justicia y Derechos Humanos.</b:Title>
    <b:Year>2009, p.6</b:Year>
    <b:Author>
      <b:Author>
        <b:NameList>
          <b:Person>
            <b:Last>Ubidia</b:Last>
            <b:First>Santiago</b:First>
            <b:Middle>Andrade</b:Middle>
          </b:Person>
        </b:NameList>
      </b:Author>
    </b:Author>
    <b:City>Quito – Ecuador</b:City>
    <b:RefOrder>431</b:RefOrder>
  </b:Source>
  <b:Source>
    <b:Tag>AbP11</b:Tag>
    <b:SourceType>InternetSite</b:SourceType>
    <b:Guid>{88862819-CAC7-410A-94AC-6B618A03EC43}</b:Guid>
    <b:Author>
      <b:Author>
        <b:NameList>
          <b:Person>
            <b:Last>Núñez</b:Last>
            <b:First>Ab.</b:First>
            <b:Middle>Paúl Peña</b:Middle>
          </b:Person>
        </b:NameList>
      </b:Author>
    </b:Author>
    <b:Title>derechoecuador.com</b:Title>
    <b:Year>2011</b:Year>
    <b:Month>Enero</b:Month>
    <b:Day>17</b:Day>
    <b:URL>http://www.derechoecuador.com/articulos/detalle/archive/doctrinas/funcionjudicial/2010/12/20/la-justicia-en-la-constitucion</b:URL>
    <b:RefOrder>432</b:RefOrder>
  </b:Source>
  <b:Source>
    <b:Tag>Bro52</b:Tag>
    <b:SourceType>Book</b:SourceType>
    <b:Guid>{7F423D53-7FFA-4F74-B331-DA0A461B6E14}</b:Guid>
    <b:Author>
      <b:Author>
        <b:NameList>
          <b:Person>
            <b:Last>Brody Reed</b:Last>
            <b:First>citado</b:First>
            <b:Middle>por Luis Fernando Ávila Linzán.</b:Middle>
          </b:Person>
        </b:NameList>
      </b:Author>
    </b:Author>
    <b:Title>La constitucionalización de la administración de justicia.</b:Title>
    <b:Year>2008, p. 252.</b:Year>
    <b:City>Quito-Ecuador</b:City>
    <b:RefOrder>433</b:RefOrder>
  </b:Source>
  <b:Source>
    <b:Tag>Bro56</b:Tag>
    <b:SourceType>Book</b:SourceType>
    <b:Guid>{CD09836D-286B-49EE-B47A-07C8AC753243}</b:Guid>
    <b:Author>
      <b:Author>
        <b:NameList>
          <b:Person>
            <b:Last>Brody Reed</b:Last>
            <b:First>citado</b:First>
            <b:Middle>por Luis Fernando Ávila Linzán.</b:Middle>
          </b:Person>
        </b:NameList>
      </b:Author>
    </b:Author>
    <b:Title>La constitucionalización de la administración de justicia.</b:Title>
    <b:Year>2008,  p. 256</b:Year>
    <b:City>Quito-Ecuador</b:City>
    <b:RefOrder>434</b:RefOrder>
  </b:Source>
  <b:Source>
    <b:Tag>CON29</b:Tag>
    <b:SourceType>Book</b:SourceType>
    <b:Guid>{B0C0EA12-8963-4D0E-862F-4FB57A7F8217}</b:Guid>
    <b:Title>CONSTITUCIÓN DE LA REPÚBLICA DEL ECUADOR</b:Title>
    <b:Year>Art. 429</b:Year>
    <b:RefOrder>435</b:RefOrder>
  </b:Source>
  <b:Source>
    <b:Tag>CON19</b:Tag>
    <b:SourceType>Book</b:SourceType>
    <b:Guid>{C90A564A-DEB0-4B46-BF93-23B7E7FF9779}</b:Guid>
    <b:Title>CONSTITUCIÓN DE LA REPÚBLICA DEL ECUADOR</b:Title>
    <b:Year>Art. 219</b:Year>
    <b:RefOrder>436</b:RefOrder>
  </b:Source>
  <b:Source>
    <b:Tag>Bro63</b:Tag>
    <b:SourceType>Book</b:SourceType>
    <b:Guid>{A7DFDE2C-8714-4E63-B25B-A61E6B0A52B6}</b:Guid>
    <b:Author>
      <b:Author>
        <b:NameList>
          <b:Person>
            <b:Last>Brody Reed</b:Last>
            <b:First>citado</b:First>
            <b:Middle>por Luis Fernando Ávila Linzán.</b:Middle>
          </b:Person>
        </b:NameList>
      </b:Author>
    </b:Author>
    <b:Title>La constitucionalización de la administración de justicia.</b:Title>
    <b:Year>262, 263</b:Year>
    <b:City>Quito-Ecuador</b:City>
    <b:RefOrder>437</b:RefOrder>
  </b:Source>
  <b:Source>
    <b:Tag>Ric57</b:Tag>
    <b:SourceType>Book</b:SourceType>
    <b:Guid>{5AA93ABB-6360-4A63-8EF6-7072510B908B}</b:Guid>
    <b:Author>
      <b:Author>
        <b:NameList>
          <b:Person>
            <b:Last>Andrade</b:Last>
            <b:First>Ricardo</b:First>
            <b:Middle>Vaca</b:Middle>
          </b:Person>
        </b:NameList>
      </b:Author>
    </b:Author>
    <b:Title>Manual de Derecho Procesal Penal.</b:Title>
    <b:Year>2009. p. 56 – 57.</b:Year>
    <b:Publisher>Corporación de Estudios y Publicaciones</b:Publisher>
    <b:RefOrder>438</b:RefOrder>
  </b:Source>
  <b:Source>
    <b:Tag>Ric73</b:Tag>
    <b:SourceType>Book</b:SourceType>
    <b:Guid>{83553F78-3A05-486B-89A6-3C0CE1556899}</b:Guid>
    <b:Author>
      <b:Author>
        <b:NameList>
          <b:Person>
            <b:Last>Andrade</b:Last>
            <b:First>Ricardo</b:First>
            <b:Middle>Vaca</b:Middle>
          </b:Person>
        </b:NameList>
      </b:Author>
    </b:Author>
    <b:Title>Manual de Derecho Procesal Penal</b:Title>
    <b:Year>p. 73</b:Year>
    <b:RefOrder>439</b:RefOrder>
  </b:Source>
  <b:Source>
    <b:Tag>MarcadorDePosición18</b:Tag>
    <b:SourceType>BookSection</b:SourceType>
    <b:Guid>{6A3E1610-25E9-4485-8162-0ECACA25A525}</b:Guid>
    <b:Author>
      <b:Author>
        <b:NameList>
          <b:Person>
            <b:Last>Hinestrosa.</b:Last>
            <b:First>Fernando</b:First>
          </b:Person>
        </b:NameList>
      </b:Author>
    </b:Author>
    <b:Title>Apuntes de derecho romano: Bienes. </b:Title>
    <b:Year>2005</b:Year>
    <b:Pages>23, 24</b:Pages>
    <b:City>Bogotá.</b:City>
    <b:RefOrder>440</b:RefOrder>
  </b:Source>
  <b:Source>
    <b:Tag>Alf03</b:Tag>
    <b:SourceType>Report</b:SourceType>
    <b:Guid>{9BF8BE73-F831-4E6D-9986-0522B4371443}</b:Guid>
    <b:Author>
      <b:Author>
        <b:NameList>
          <b:Person>
            <b:Last>Monzón</b:Last>
            <b:First>Alfonso</b:First>
            <b:Middle>Florencio</b:Middle>
          </b:Person>
        </b:NameList>
      </b:Author>
    </b:Author>
    <b:Title>ELEMENTOS DEL DERECHO DE PROPIEDAD</b:Title>
    <b:Year>2003</b:Year>
    <b:RefOrder>441</b:RefOrder>
  </b:Source>
  <b:Source>
    <b:Tag>CON47</b:Tag>
    <b:SourceType>Book</b:SourceType>
    <b:Guid>{AC8E753F-74F9-4AE1-8FF6-8CA58A366696}</b:Guid>
    <b:Title>CONSTITUCIÓN DE LA REPÚBLICA DEL ECUADOR</b:Title>
    <b:Year>2008, pág. 146</b:Year>
    <b:City>Quito-Ecuador</b:City>
    <b:Publisher>Corporación de Estudios y Publicaciones</b:Publisher>
    <b:RefOrder>442</b:RefOrder>
  </b:Source>
  <b:Source>
    <b:Tag>CIV87</b:Tag>
    <b:SourceType>Book</b:SourceType>
    <b:Guid>{C3E74F9F-CBAF-41AC-9211-A92A6E25B79D}</b:Guid>
    <b:Title>CÓDIGO CIVIL ECUATORIANO</b:Title>
    <b:Year>2011, pág. 87</b:Year>
    <b:City>Quito-Ecuador</b:City>
    <b:Publisher>Editorial, Corporación de Estudios y Publicaciones</b:Publisher>
    <b:RefOrder>443</b:RefOrder>
  </b:Source>
  <b:Source>
    <b:Tag>CAB01</b:Tag>
    <b:SourceType>Book</b:SourceType>
    <b:Guid>{74F790CE-AF45-4D92-B031-13E1A321EDD8}</b:Guid>
    <b:Author>
      <b:Author>
        <b:NameList>
          <b:Person>
            <b:Last>CABANELLAS</b:Last>
            <b:First>Guillermo</b:First>
          </b:Person>
        </b:NameList>
      </b:Author>
    </b:Author>
    <b:Title>Diccionario Enciclopédico de Derecho usual</b:Title>
    <b:Year>2001</b:Year>
    <b:Publisher>Editorial Heliasta S.R.L.</b:Publisher>
    <b:City>Buenos Aires-Argentina</b:City>
    <b:Pages> 439</b:Pages>
    <b:RefOrder>444</b:RefOrder>
  </b:Source>
  <b:Source xmlns:b="http://schemas.openxmlformats.org/officeDocument/2006/bibliography">
    <b:Tag>CÓD04</b:Tag>
    <b:SourceType>Book</b:SourceType>
    <b:Guid>{C174F8C8-B4B7-481F-A62E-5BF1D6D56804}</b:Guid>
    <b:Title>CÓDIGO CIVIL ECUATORIANO</b:Title>
    <b:Year>2004</b:Year>
    <b:City>Quito-Ecuador</b:City>
    <b:Publisher>Editorial Ediciones Edi-Gab</b:Publisher>
    <b:RefOrder>445</b:RefOrder>
  </b:Source>
  <b:Source>
    <b:Tag>LEO</b:Tag>
    <b:SourceType>Book</b:SourceType>
    <b:Guid>{3946E8E1-091D-4689-BEC6-11274E21F2C3}</b:Guid>
    <b:Author>
      <b:Author>
        <b:NameList>
          <b:Person>
            <b:Last>RIVAS</b:Last>
            <b:First>LEONARDO</b:First>
          </b:Person>
        </b:NameList>
      </b:Author>
    </b:Author>
    <b:Title>Estudios de libro II del Código Civil</b:Title>
    <b:City>Quito</b:City>
    <b:Publisher>Casa de la Cultura</b:Publisher>
    <b:Year>2012</b:Year>
    <b:RefOrder>446</b:RefOrder>
  </b:Source>
  <b:Source>
    <b:Tag>CÓD73</b:Tag>
    <b:SourceType>Book</b:SourceType>
    <b:Guid>{AACA0167-A073-4C89-99C2-BC2B958D0D61}</b:Guid>
    <b:Title>CÓDIGO CIVIL ECUATORIANO </b:Title>
    <b:Year>2011,  pág. 173</b:Year>
    <b:Publisher> Editorial Corporación de Estudios y Publicaciones</b:Publisher>
    <b:RefOrder>447</b:RefOrder>
  </b:Source>
  <b:Source>
    <b:Tag>COD11</b:Tag>
    <b:SourceType>Book</b:SourceType>
    <b:Guid>{10D8B503-B744-4175-8868-95C44CD20860}</b:Guid>
    <b:Title>CÓDIGO CIVIL ECUATORIANO</b:Title>
    <b:Year>2011</b:Year>
    <b:City>QUITO-ECUADOR</b:City>
    <b:Publisher>Editorial Corporación de Estudios y Publicaciones</b:Publisher>
    <b:RefOrder>448</b:RefOrder>
  </b:Source>
  <b:Source>
    <b:Tag>GAR15</b:Tag>
    <b:SourceType>BookSection</b:SourceType>
    <b:Guid>{48CD7F9D-C6CF-494F-9D00-1D2AC42CEA8B}</b:Guid>
    <b:Author>
      <b:Author>
        <b:NameList>
          <b:Person>
            <b:Last>GARCES</b:Last>
            <b:First>RAMIRO</b:First>
            <b:Middle>LOPEZ</b:Middle>
          </b:Person>
        </b:NameList>
      </b:Author>
    </b:Author>
    <b:Title>Ultimos modelos de demandas en los juicios verbal sumario, sumario y procedimiento especial</b:Title>
    <b:Year>2000-01-15</b:Year>
    <b:Publisher>Cámara Ecuatoriana del Libro - Núcleo de Pichincha</b:Publisher>
    <b:RefOrder>449</b:RefOrder>
  </b:Source>
  <b:Source>
    <b:Tag>Gui05</b:Tag>
    <b:SourceType>InternetSite</b:SourceType>
    <b:Guid>{CB33B03D-902E-48D3-846F-C04E57C3FF2D}</b:Guid>
    <b:Year>2005</b:Year>
    <b:Author>
      <b:Author>
        <b:NameList>
          <b:Person>
            <b:Last>Metlich</b:Last>
            <b:First>Guillermo</b:First>
          </b:Person>
        </b:NameList>
      </b:Author>
    </b:Author>
    <b:Month>Abril</b:Month>
    <b:URL>http://www.monografias.com/trabajos22/seguridad-juridica/seguridad-juridica.shtml#ixzz3o8Fi2Wu1</b:URL>
    <b:RefOrder>450</b:RefOrder>
  </b:Source>
  <b:Source>
    <b:Tag>HER13</b:Tag>
    <b:SourceType>Book</b:SourceType>
    <b:Guid>{E636219B-D03B-4A56-9B69-2B006CC4D0AC}</b:Guid>
    <b:Author>
      <b:Author>
        <b:NameList>
          <b:Person>
            <b:Last>HERRERA</b:Last>
            <b:First>CARLOS</b:First>
          </b:Person>
        </b:NameList>
      </b:Author>
    </b:Author>
    <b:Title>XV fragmento del libro inédito "Apuntes sobre la Sociedad Abierta"</b:Title>
    <b:Year>2013</b:Year>
    <b:RefOrder>451</b:RefOrder>
  </b:Source>
  <b:Source>
    <b:Tag>htt</b:Tag>
    <b:SourceType>InternetSite</b:SourceType>
    <b:Guid>{550DAF27-FF3D-4613-8DB1-260388ADE32D}</b:Guid>
    <b:URL>http://palestrajuridico.blogspot.com/2013/04/la-seguridad-juridica-en-el-ecuador.html</b:URL>
    <b:Author>
      <b:Author>
        <b:NameList>
          <b:Person>
            <b:Last>Flores</b:Last>
            <b:First>Bryan</b:First>
          </b:Person>
        </b:NameList>
      </b:Author>
    </b:Author>
    <b:Title>Palestra Jurídico</b:Title>
    <b:Year>2013</b:Year>
    <b:Month>Abril</b:Month>
    <b:Day>16</b:Day>
    <b:InternetSiteTitle>Seguridad Jurídica en el Ecuador</b:InternetSiteTitle>
    <b:RefOrder>452</b:RefOrder>
  </b:Source>
  <b:Source>
    <b:Tag>Cod</b:Tag>
    <b:SourceType>Book</b:SourceType>
    <b:Guid>{0BC53D20-5387-46F1-8FB6-571B61EDCA7B}</b:Guid>
    <b:Title>CÓDIGO ORGÁNICO DE LA FUNCIÓN JUDICIAL</b:Title>
    <b:RefOrder>453</b:RefOrder>
  </b:Source>
  <b:Source>
    <b:Tag>Rob18</b:Tag>
    <b:SourceType>Book</b:SourceType>
    <b:Guid>{2AA05945-A928-4D45-8619-E743E0BC414B}</b:Guid>
    <b:Author>
      <b:Author>
        <b:NameList>
          <b:Person>
            <b:Last>Dromi.</b:Last>
            <b:First>Roberto</b:First>
          </b:Person>
        </b:NameList>
      </b:Author>
    </b:Author>
    <b:Title>Seguridad Jurídica</b:Title>
    <b:Year>Pag. 118</b:Year>
    <b:RefOrder>454</b:RefOrder>
  </b:Source>
  <b:Source>
    <b:Tag>Rob20</b:Tag>
    <b:SourceType>Book</b:SourceType>
    <b:Guid>{B4FA25C1-F633-4D44-A81D-BF5174AC5AAE}</b:Guid>
    <b:Author>
      <b:Author>
        <b:NameList>
          <b:Person>
            <b:Last>Dromi.</b:Last>
            <b:First>Roberto</b:First>
          </b:Person>
        </b:NameList>
      </b:Author>
    </b:Author>
    <b:Title>Seguridad Jurídica</b:Title>
    <b:Year>Pag. 119, 120</b:Year>
    <b:RefOrder>455</b:RefOrder>
  </b:Source>
  <b:Source>
    <b:Tag>Rob10</b:Tag>
    <b:SourceType>Book</b:SourceType>
    <b:Guid>{C5F751EB-BEB8-4535-A831-1363EFF6DF6D}</b:Guid>
    <b:Author>
      <b:Author>
        <b:NameList>
          <b:Person>
            <b:Last>Dromi.</b:Last>
            <b:First>Roberto</b:First>
          </b:Person>
        </b:NameList>
      </b:Author>
    </b:Author>
    <b:Title>Seguridad Jurídica</b:Title>
    <b:Year>Pag. 210</b:Year>
    <b:RefOrder>456</b:RefOrder>
  </b:Source>
  <b:Source>
    <b:Tag>Cam10</b:Tag>
    <b:SourceType>Report</b:SourceType>
    <b:Guid>{DC5A70F7-2532-4B05-A090-498340E6BBD2}</b:Guid>
    <b:Author>
      <b:Author>
        <b:NameList>
          <b:Person>
            <b:Last>Campaña</b:Last>
            <b:First>Farith</b:First>
            <b:Middle>Simon</b:Middle>
          </b:Person>
        </b:NameList>
      </b:Author>
    </b:Author>
    <b:Title>La noción “derechos fundamentales” en la jurisprudencia de la autodenominada Corte Constitucional Ecuatoriana.</b:Title>
    <b:Year>2010</b:Year>
    <b:RefOrder>457</b:RefOrder>
  </b:Source>
  <b:Source>
    <b:Tag>Die12</b:Tag>
    <b:SourceType>BookSection</b:SourceType>
    <b:Guid>{F11868CD-A868-4616-A9B8-D7CF50964D89}</b:Guid>
    <b:Author>
      <b:Author>
        <b:NameList>
          <b:Person>
            <b:Last>Santillán</b:Last>
            <b:First>Diego</b:First>
            <b:Middle>Abad de</b:Middle>
          </b:Person>
        </b:NameList>
      </b:Author>
      <b:BookAuthor>
        <b:NameList>
          <b:Person>
            <b:Last>PROUDHON</b:Last>
            <b:First>PIERRE</b:First>
            <b:Middle>JOSEPH</b:Middle>
          </b:Person>
        </b:NameList>
      </b:BookAuthor>
    </b:Author>
    <b:Title>¿Qué es la propiedad? Investigaciones sobre el principio del derecho y del gobierno.</b:Title>
    <b:Year>2012</b:Year>
    <b:Publisher>Libros de Anarres</b:Publisher>
    <b:City>Buenos Aires</b:City>
    <b:Pages>109</b:Pages>
    <b:RefOrder>458</b:RefOrder>
  </b:Source>
  <b:Source>
    <b:Tag>Bor13</b:Tag>
    <b:SourceType>BookSection</b:SourceType>
    <b:Guid>{93224158-0F43-489C-9A9D-763AC0271F97}</b:Guid>
    <b:Author>
      <b:Author>
        <b:NameList>
          <b:Person>
            <b:Last>Borja</b:Last>
            <b:First>M.</b:First>
          </b:Person>
        </b:NameList>
      </b:Author>
    </b:Author>
    <b:Title>Teoría general de las obligaciones.</b:Title>
    <b:Year>2013</b:Year>
    <b:Pages>149-146</b:Pages>
    <b:RefOrder>459</b:RefOrder>
  </b:Source>
  <b:Source>
    <b:Tag>Las02</b:Tag>
    <b:SourceType>BookSection</b:SourceType>
    <b:Guid>{4B37A5EF-8E36-450F-9401-6DE9A12D5331}</b:Guid>
    <b:Author>
      <b:Author>
        <b:NameList>
          <b:Person>
            <b:Last>Lasarte</b:Last>
            <b:First>Carlos</b:First>
          </b:Person>
        </b:NameList>
      </b:Author>
    </b:Author>
    <b:Title>Principios de Derecho civil. Tomo cuarto: Propiedad y derechos reales de goce.</b:Title>
    <b:Year>2002</b:Year>
    <b:Pages>77</b:Pages>
    <b:City>Madrid</b:City>
    <b:Publisher>Marcial Pons.</b:Publisher>
    <b:RefOrder>460</b:RefOrder>
  </b:Source>
  <b:Source>
    <b:Tag>AIL14</b:Tag>
    <b:SourceType>ConferenceProceedings</b:SourceType>
    <b:Guid>{DE440DFC-941E-412F-BDC7-B8AC3688D79B}</b:Guid>
    <b:Title>Los Derechos Fundamentales</b:Title>
    <b:Year>2014</b:Year>
    <b:City>machala</b:City>
    <b:Publisher>utm</b:Publisher>
    <b:Author>
      <b:Author>
        <b:NameList>
          <b:Person>
            <b:Last>AILLON</b:Last>
            <b:First>Paola</b:First>
          </b:Person>
        </b:NameList>
      </b:Author>
    </b:Author>
    <b:Pages>3</b:Pages>
    <b:ConferenceName>seminario de derecho</b:ConferenceName>
    <b:RefOrder>461</b:RefOrder>
  </b:Source>
  <b:Source>
    <b:Tag>Ala12</b:Tag>
    <b:SourceType>Book</b:SourceType>
    <b:Guid>{A6CE2D49-1E01-4E8A-A901-91166905D4D2}</b:Guid>
    <b:Title>La Constitucion</b:Title>
    <b:Year>2012</b:Year>
    <b:City>Quito</b:City>
    <b:Publisher>ESPAD</b:Publisher>
    <b:Author>
      <b:Author>
        <b:NameList>
          <b:Person>
            <b:Last>Alarcon</b:Last>
            <b:First>Nubia</b:First>
          </b:Person>
        </b:NameList>
      </b:Author>
    </b:Author>
    <b:RefOrder>462</b:RefOrder>
  </b:Source>
  <b:Source>
    <b:Tag>Mar15</b:Tag>
    <b:SourceType>ArticleInAPeriodical</b:SourceType>
    <b:Guid>{F3B5AD65-B8D4-4B4B-A71F-621CAD9374B7}</b:Guid>
    <b:Title>Los Derechos</b:Title>
    <b:Year>2015</b:Year>
    <b:City>Guayaquil</b:City>
    <b:PeriodicalTitle>EXPRESO</b:PeriodicalTitle>
    <b:Month>febrero</b:Month>
    <b:Day>1</b:Day>
    <b:Pages>2</b:Pages>
    <b:Author>
      <b:Author>
        <b:NameList>
          <b:Person>
            <b:Last>Maridueña</b:Last>
            <b:First>Romy</b:First>
          </b:Person>
        </b:NameList>
      </b:Author>
    </b:Author>
    <b:RefOrder>463</b:RefOrder>
  </b:Source>
  <b:Source>
    <b:Tag>DrJ</b:Tag>
    <b:SourceType>InternetSite</b:SourceType>
    <b:Guid>{9B6BBB85-B279-46BA-8318-1E50BDEF493A}</b:Guid>
    <b:Author>
      <b:Author>
        <b:NameList>
          <b:Person>
            <b:Last>Falconí</b:Last>
            <b:First>Dr.</b:First>
            <b:Middle>José García</b:Middle>
          </b:Person>
        </b:NameList>
      </b:Author>
    </b:Author>
    <b:URL>www.derechoecuador.com</b:URL>
    <b:RefOrder>464</b:RefOrder>
  </b:Source>
  <b:Source>
    <b:Tag>COD09</b:Tag>
    <b:SourceType>Book</b:SourceType>
    <b:Guid>{7846F1C3-8422-453A-9792-FD561F7DFE3A}</b:Guid>
    <b:Title>CÓDIGO DE PROCEDIMIENTO CIVIL</b:Title>
    <b:Year>2009</b:Year>
    <b:City>Quito-Ecuador</b:City>
    <b:Publisher>Corporacion de estudios y publicaciones</b:Publisher>
    <b:RefOrder>465</b:RefOrder>
  </b:Source>
  <b:Source>
    <b:Tag>DOR04</b:Tag>
    <b:SourceType>InternetSite</b:SourceType>
    <b:Guid>{43C87E06-8C57-44A8-90F6-A228A405916B}</b:Guid>
    <b:Author>
      <b:Author>
        <b:NameList>
          <b:Person>
            <b:Last>AMPUERO</b:Last>
            <b:First>DORA</b:First>
            <b:Middle>DE</b:Middle>
          </b:Person>
        </b:NameList>
      </b:Author>
    </b:Author>
    <b:Title>Instituto Ecuatoriano de Economía Política</b:Title>
    <b:Year>2004</b:Year>
    <b:Month>FEBRERO</b:Month>
    <b:Day>06</b:Day>
    <b:YearAccessed>2015</b:YearAccessed>
    <b:MonthAccessed>09</b:MonthAccessed>
    <b:DayAccessed>28</b:DayAccessed>
    <b:URL>http://www.ieep.org.ec/index.php?option=com_content&amp;view=article&amp;id=351&amp;catid=24&amp;Itemid=67</b:URL>
    <b:RefOrder>466</b:RefOrder>
  </b:Source>
  <b:Source>
    <b:Tag>Edg06</b:Tag>
    <b:SourceType>Book</b:SourceType>
    <b:Guid>{85725AFF-C170-42B1-A355-44240F5E888D}</b:Guid>
    <b:Author>
      <b:Author>
        <b:NameList>
          <b:Person>
            <b:Last>Donna</b:Last>
            <b:First>Edgardo</b:First>
            <b:Middle>Alberto</b:Middle>
          </b:Person>
        </b:NameList>
      </b:Author>
    </b:Author>
    <b:Title>Derecho Penal - Parte General tomo I</b:Title>
    <b:Year>2006</b:Year>
    <b:City>Buenos Aires</b:City>
    <b:Publisher>Rubinzal - Culzoni editores</b:Publisher>
    <b:Pages>77</b:Pages>
    <b:RefOrder>467</b:RefOrder>
  </b:Source>
  <b:Source>
    <b:Tag>Don06</b:Tag>
    <b:SourceType>Book</b:SourceType>
    <b:Guid>{C2736FA8-77EF-484F-8793-29B0306C7ECC}</b:Guid>
    <b:Title>Derecho Penal - Parte General Tomo I</b:Title>
    <b:Year>2006</b:Year>
    <b:Author>
      <b:Author>
        <b:NameList>
          <b:Person>
            <b:Last>Donna</b:Last>
            <b:First>Edgardo</b:First>
            <b:Middle>Alberto</b:Middle>
          </b:Person>
        </b:NameList>
      </b:Author>
    </b:Author>
    <b:City>Buenos Aires</b:City>
    <b:Publisher>Rubinzal - Culzoni Editoriales</b:Publisher>
    <b:Pages>81</b:Pages>
    <b:RefOrder>468</b:RefOrder>
  </b:Source>
  <b:Source>
    <b:Tag>Kolher</b:Tag>
    <b:SourceType>Book</b:SourceType>
    <b:Guid>{4B76A3B0-9DEF-40AD-A410-A3FEDFFB8302}</b:Guid>
    <b:Author>
      <b:Author>
        <b:NameList>
          <b:Person>
            <b:Last>Kohler</b:Last>
            <b:First>Michael</b:First>
          </b:Person>
        </b:NameList>
      </b:Author>
    </b:Author>
    <b:Title>Sobre el estado de la teoría del delito</b:Title>
    <b:Year>2000</b:Year>
    <b:City>Madrid</b:City>
    <b:Publisher>Cuaderno Civitas</b:Publisher>
    <b:RefOrder>469</b:RefOrder>
  </b:Source>
  <b:Source>
    <b:Tag>Cód14</b:Tag>
    <b:SourceType>Book</b:SourceType>
    <b:Guid>{BC66DA9D-EEE3-49F4-8469-87DB9B5E96D0}</b:Guid>
    <b:Title>Libro Preliminar - Normas Rectoras</b:Title>
    <b:Year>2014</b:Year>
    <b:City>Quito</b:City>
    <b:Publisher>Corporación de Estudios y Publicaciones</b:Publisher>
    <b:Author>
      <b:Author>
        <b:NameList>
          <b:Person>
            <b:Last>Penal</b:Last>
            <b:First>Código</b:First>
            <b:Middle>Orgánico Integral</b:Middle>
          </b:Person>
        </b:NameList>
      </b:Author>
    </b:Author>
    <b:RefOrder>470</b:RefOrder>
  </b:Source>
  <b:Source>
    <b:Tag>Wik</b:Tag>
    <b:SourceType>InternetSite</b:SourceType>
    <b:Guid>{04091BA8-ACAB-4DC6-A486-40E544AFF7FF}</b:Guid>
    <b:Title>Wikipedia</b:Title>
    <b:Author>
      <b:Author>
        <b:NameList>
          <b:Person>
            <b:Last>Wikipedia</b:Last>
          </b:Person>
        </b:NameList>
      </b:Author>
    </b:Author>
    <b:InternetSiteTitle>Wikipedia</b:InternetSiteTitle>
    <b:URL>https://es.wikipedia.org/wiki/Derecho</b:URL>
    <b:RefOrder>471</b:RefOrder>
  </b:Source>
  <b:Source>
    <b:Tag>Gan09</b:Tag>
    <b:SourceType>InternetSite</b:SourceType>
    <b:Guid>{1558DD06-F0EA-43B1-BDDB-3A411767BE1C}</b:Guid>
    <b:Author>
      <b:Author>
        <b:NameList>
          <b:Person>
            <b:Last>Gandulfo R.</b:Last>
            <b:First>Eduardo</b:First>
          </b:Person>
        </b:NameList>
      </b:Author>
    </b:Author>
    <b:Title>Wikipedia</b:Title>
    <b:Year>2009</b:Year>
    <b:YearAccessed>2015</b:YearAccessed>
    <b:MonthAccessed>Agosto</b:MonthAccessed>
    <b:DayAccessed>5</b:DayAccessed>
    <b:URL>http://www.politicacriminal.cl/n_08/a_2_8.pdf</b:URL>
    <b:RefOrder>472</b:RefOrder>
  </b:Source>
  <b:Source>
    <b:Tag>Jua09</b:Tag>
    <b:SourceType>Book</b:SourceType>
    <b:Guid>{78311F21-F4CA-4396-A604-12E7951D6013}</b:Guid>
    <b:Author>
      <b:Author>
        <b:NameList>
          <b:Person>
            <b:Last>Méndez</b:Last>
            <b:First>Juan</b:First>
          </b:Person>
        </b:NameList>
      </b:Author>
    </b:Author>
    <b:Title>Derecho a la Verdad frente a Graves Violaciones de los Derechos Humanos</b:Title>
    <b:Year>2009</b:Year>
    <b:City>Buenos Aires</b:City>
    <b:Publisher>Editores del Puerto</b:Publisher>
    <b:RefOrder>473</b:RefOrder>
  </b:Source>
  <b:Source>
    <b:Tag>Ver15</b:Tag>
    <b:SourceType>InternetSite</b:SourceType>
    <b:Guid>{A1EE2D62-F241-420B-8D9A-8BFEBCE03AC8}</b:Guid>
    <b:Author>
      <b:Author>
        <b:NameList>
          <b:Person>
            <b:Last>Veritas</b:Last>
            <b:First>significado</b:First>
            <b:Middle>y uso,</b:Middle>
          </b:Person>
        </b:NameList>
      </b:Author>
    </b:Author>
    <b:Title>Wikipedia</b:Title>
    <b:YearAccessed>2015</b:YearAccessed>
    <b:MonthAccessed>agosto</b:MonthAccessed>
    <b:DayAccessed>12</b:DayAccessed>
    <b:URL>http://en.wikipedia.org/wiki/veritas</b:URL>
    <b:RefOrder>474</b:RefOrder>
  </b:Source>
  <b:Source>
    <b:Tag>Mar00</b:Tag>
    <b:SourceType>InternetSite</b:SourceType>
    <b:Guid>{FF76030A-0E7C-44AD-8702-8955363FF1DE}</b:Guid>
    <b:Title>Wikipedia</b:Title>
    <b:Year>2000</b:Year>
    <b:Author>
      <b:Author>
        <b:NameList>
          <b:Person>
            <b:Last>Verdad</b:Last>
            <b:First>Martín</b:First>
            <b:Middle>Heidegger - La Doctrina de Platón Acerca de la</b:Middle>
          </b:Person>
        </b:NameList>
      </b:Author>
    </b:Author>
    <b:Day>Julio</b:Day>
    <b:YearAccessed>2015</b:YearAccessed>
    <b:MonthAccessed>Agosto</b:MonthAccessed>
    <b:DayAccessed>12</b:DayAccessed>
    <b:URL>http://www.cybertesis.cl/tesis/uchile/2000/abalo_f/sources/alabo/_f.pdf</b:URL>
    <b:RefOrder>475</b:RefOrder>
  </b:Source>
  <b:Source>
    <b:Tag>Ferid</b:Tag>
    <b:SourceType>Book</b:SourceType>
    <b:Guid>{C71B9740-B1F1-43AC-935C-7F939712AE86}</b:Guid>
    <b:Title>Pasado y Futuro del Estado de Derecho, en Miguel Carbonell</b:Title>
    <b:Year>Madrid</b:Year>
    <b:Pages>15</b:Pages>
    <b:City>Madrid</b:City>
    <b:Publisher>Trotta S.A</b:Publisher>
    <b:Author>
      <b:Author>
        <b:NameList>
          <b:Person>
            <b:Last>Ferrajoli</b:Last>
            <b:First>Luigi</b:First>
          </b:Person>
        </b:NameList>
      </b:Author>
    </b:Author>
    <b:RefOrder>476</b:RefOrder>
  </b:Source>
  <b:Source>
    <b:Tag>Ale03</b:Tag>
    <b:SourceType>Book</b:SourceType>
    <b:Guid>{BC08D62C-50BF-46B7-9448-A7F1DA57C541}</b:Guid>
    <b:Author>
      <b:Author>
        <b:NameList>
          <b:Person>
            <b:Last>Alexi</b:Last>
            <b:First>Rober</b:First>
          </b:Person>
        </b:NameList>
      </b:Author>
    </b:Author>
    <b:Title>Los Derechos Fundamentales en el Estado Constitucional de Derecho</b:Title>
    <b:Year>2003</b:Year>
    <b:City>Madrid</b:City>
    <b:Publisher>Trotta S.A.</b:Publisher>
    <b:Pages>32</b:Pages>
    <b:RefOrder>477</b:RefOrder>
  </b:Source>
  <b:Source>
    <b:Tag>Ver86</b:Tag>
    <b:SourceType>Book</b:SourceType>
    <b:Guid>{2426E1D6-B588-46B5-9392-2334FE93573C}</b:Guid>
    <b:Author>
      <b:Author>
        <b:NameList>
          <b:Person>
            <b:Last>Verdú</b:Last>
            <b:First>Pablo</b:First>
            <b:Middle>Lucas</b:Middle>
          </b:Person>
        </b:NameList>
      </b:Author>
    </b:Author>
    <b:Title>Curso de Derecho Político - Vol. II, 2da ed</b:Title>
    <b:Year>1986</b:Year>
    <b:City>Madrid</b:City>
    <b:Publisher>Tecnos S.A</b:Publisher>
    <b:Pages>418</b:Pages>
    <b:RefOrder>478</b:RefOrder>
  </b:Source>
  <b:Source>
    <b:Tag>Jür98</b:Tag>
    <b:SourceType>JournalArticle</b:SourceType>
    <b:Guid>{1C88D164-5105-4494-93FC-00CDBBFAF7B5}</b:Guid>
    <b:Title>La Política y el Derecho, ¿Se Opone la Democracia y el</b:Title>
    <b:Year>1998</b:Year>
    <b:Author>
      <b:Author>
        <b:NameList>
          <b:Person>
            <b:Last>Jürgen Habermas</b:Last>
            <b:First>Ronald</b:First>
            <b:Middle>Dworkin y otros</b:Middle>
          </b:Person>
        </b:NameList>
      </b:Author>
    </b:Author>
    <b:JournalName>Estudios Sobre el Estado y la Sociedad</b:JournalName>
    <b:Pages>18</b:Pages>
    <b:RefOrder>479</b:RefOrder>
  </b:Source>
  <b:Source>
    <b:Tag>Zam05</b:Tag>
    <b:SourceType>Book</b:SourceType>
    <b:Guid>{8F3641C5-4E10-49BC-9215-D41057916AF0}</b:Guid>
    <b:Title>Soberanía y Derechos Humanos Libro homenaje de Héctor Zamudio</b:Title>
    <b:Year>2005</b:Year>
    <b:Pages>1123</b:Pages>
    <b:Author>
      <b:Author>
        <b:NameList>
          <b:Person>
            <b:Last>Zamudio Héctor</b:Last>
            <b:First>frase</b:First>
            <b:Middle>citada por César Moyano Bonilla</b:Middle>
          </b:Person>
        </b:NameList>
      </b:Author>
    </b:Author>
    <b:City>Sán José de Costa Rica</b:City>
    <b:Publisher>ed., 1, Vol. II CIDH</b:Publisher>
    <b:RefOrder>480</b:RefOrder>
  </b:Source>
  <b:Source>
    <b:Tag>Wil08</b:Tag>
    <b:SourceType>Misc</b:SourceType>
    <b:Guid>{54477A2F-59DD-40F6-841F-0914C82E4E4F}</b:Guid>
    <b:Title>Entrevista Realizada en el marco de la Conferencia Internacional de las Comisiones de la Verdad y el Fortalecimiento de la Democracia en Ecuador</b:Title>
    <b:Year>2008</b:Year>
    <b:City>Quito</b:City>
    <b:CountryRegion>Ecuador</b:CountryRegion>
    <b:Month>septiembre</b:Month>
    <b:Day>10</b:Day>
    <b:PublicationTitle>Entrevista Realizada en el marco de la Conferencia Internacional de las Comisiones de la Verdad y el Fortalecimiento de la Democracia en Ecuador</b:PublicationTitle>
    <b:StateProvince>Pichincha</b:StateProvince>
    <b:Author>
      <b:Interviewee>
        <b:NameList>
          <b:Person>
            <b:Last>Sierra</b:Last>
            <b:First>Wilfredo</b:First>
            <b:Middle>Pedraza</b:Middle>
          </b:Person>
        </b:NameList>
      </b:Interviewee>
      <b:Author>
        <b:NameList>
          <b:Person>
            <b:Last>Sierra</b:Last>
            <b:First>Wilfredo</b:First>
            <b:Middle>Pedraza</b:Middle>
          </b:Person>
        </b:NameList>
      </b:Author>
    </b:Author>
    <b:RefOrder>481</b:RefOrder>
  </b:Source>
  <b:Source>
    <b:Tag>Dáv08</b:Tag>
    <b:SourceType>Book</b:SourceType>
    <b:Guid>{136201A6-B34B-4218-AB3D-8BB7374CEE40}</b:Guid>
    <b:Title>Estados de Excepción ¿Mal necesario o herramienta de mal utilizada?</b:Title>
    <b:Year>2008</b:Year>
    <b:City>Quito</b:City>
    <b:Publisher>Ramiro Ávila, Neoconstitucionalismo (s)</b:Publisher>
    <b:Author>
      <b:Author>
        <b:NameList>
          <b:Person>
            <b:Last>Dávalos</b:Last>
            <b:First>María</b:First>
          </b:Person>
        </b:NameList>
      </b:Author>
    </b:Author>
    <b:Pages>149</b:Pages>
    <b:RefOrder>482</b:RefOrder>
  </b:Source>
  <b:Source>
    <b:Tag>CID00</b:Tag>
    <b:SourceType>InternetSite</b:SourceType>
    <b:Guid>{FE4B506B-F73C-4FC0-B5F3-EB06E12C61D9}</b:Guid>
    <b:Title>CIDH</b:Title>
    <b:Year>2000</b:Year>
    <b:Author>
      <b:Author>
        <b:NameList>
          <b:Person>
            <b:Last>CIDH</b:Last>
          </b:Person>
        </b:NameList>
      </b:Author>
    </b:Author>
    <b:Month>Junio</b:Month>
    <b:YearAccessed>2015</b:YearAccessed>
    <b:MonthAccessed>Agosto</b:MonthAccessed>
    <b:DayAccessed>30</b:DayAccessed>
    <b:URL>http://www.cidh.org/countryrep/peru2000sp/introduccion.htm</b:URL>
    <b:RefOrder>483</b:RefOrder>
  </b:Source>
  <b:Source>
    <b:Tag>Cam02</b:Tag>
    <b:SourceType>Book</b:SourceType>
    <b:Guid>{A0DD1F8B-4125-4B1A-8EE6-598E702F44C7}</b:Guid>
    <b:Author>
      <b:Author>
        <b:NameList>
          <b:Person>
            <b:Last>Camacho</b:Last>
            <b:First>Azula</b:First>
          </b:Person>
        </b:NameList>
      </b:Author>
    </b:Author>
    <b:Title>Teoría General del Proceso: en Manual de Derecho Procesal</b:Title>
    <b:Year>2002</b:Year>
    <b:City>Bogotá</b:City>
    <b:Publisher>Temis S.A. 8ª ed</b:Publisher>
    <b:CountryRegion>357</b:CountryRegion>
    <b:RefOrder>484</b:RefOrder>
  </b:Source>
  <b:Source>
    <b:Tag>Edu64</b:Tag>
    <b:SourceType>Book</b:SourceType>
    <b:Guid>{1D8BB1FE-5B34-4934-A4B3-3CE6C0B04295}</b:Guid>
    <b:Author>
      <b:Author>
        <b:NameList>
          <b:Person>
            <b:Last>Couture</b:Last>
            <b:First>Eduardo</b:First>
          </b:Person>
        </b:NameList>
      </b:Author>
    </b:Author>
    <b:Title>Fundamentos del Derecho Porcesal Civil</b:Title>
    <b:Year>1964</b:Year>
    <b:City>Buenos Aires</b:City>
    <b:Publisher>Depalma</b:Publisher>
    <b:RefOrder>485</b:RefOrder>
  </b:Source>
  <b:Source>
    <b:Tag>Her87</b:Tag>
    <b:SourceType>Book</b:SourceType>
    <b:Guid>{968BB23F-ABE9-4C47-9B8B-30D8DF29364C}</b:Guid>
    <b:Author>
      <b:Author>
        <b:NameList>
          <b:Person>
            <b:Last>Echeandía</b:Last>
            <b:First>Hernando</b:First>
            <b:Middle>Davis</b:Middle>
          </b:Person>
        </b:NameList>
      </b:Author>
    </b:Author>
    <b:Title>Teoría General del Proces. Compendio de Derecho Procesal Tomo I</b:Title>
    <b:Year>1987</b:Year>
    <b:City>Bogotá</b:City>
    <b:Publisher>Biblioteca Jurídica Dike</b:Publisher>
    <b:RefOrder>486</b:RefOrder>
  </b:Source>
  <b:Source>
    <b:Tag>Aug03</b:Tag>
    <b:SourceType>Book</b:SourceType>
    <b:Guid>{98E7E69C-41A8-4260-8533-DA900128F320}</b:Guid>
    <b:Author>
      <b:Author>
        <b:NameList>
          <b:Person>
            <b:Last>Guzmán</b:Last>
            <b:First>Augusto</b:First>
            <b:Middle>Ibañes</b:Middle>
          </b:Person>
        </b:NameList>
      </b:Author>
    </b:Author>
    <b:Title>Cosa Juzgada y el Non bis in ídem en el sistema penal</b:Title>
    <b:Year>2003</b:Year>
    <b:City>Bogotá</b:City>
    <b:Publisher>Universidad Externado de Colombia </b:Publisher>
    <b:RefOrder>487</b:RefOrder>
  </b:Source>
  <b:Source>
    <b:Tag>Raú05</b:Tag>
    <b:SourceType>Book</b:SourceType>
    <b:Guid>{F6F4A13E-8266-4C34-9E2D-B6F2E8912777}</b:Guid>
    <b:Author>
      <b:Author>
        <b:NameList>
          <b:Person>
            <b:Last>Cárdenas</b:Last>
            <b:First>Raúl</b:First>
          </b:Person>
        </b:NameList>
      </b:Author>
    </b:Author>
    <b:Title>El principio Non Bis in ídem</b:Title>
    <b:Year>2005</b:Year>
    <b:City>México</b:City>
    <b:Publisher>Porrúa</b:Publisher>
    <b:RefOrder>488</b:RefOrder>
  </b:Source>
  <b:Source>
    <b:Tag>Jua01</b:Tag>
    <b:SourceType>Book</b:SourceType>
    <b:Guid>{B919EEA4-1D9D-47D7-8B19-16249F212237}</b:Guid>
    <b:Author>
      <b:Author>
        <b:NameList>
          <b:Person>
            <b:Last>Hitters</b:Last>
            <b:First>Juan</b:First>
            <b:Middle>Carlos</b:Middle>
          </b:Person>
        </b:NameList>
      </b:Author>
    </b:Author>
    <b:Title>Revisión de la Cosa Juzgada</b:Title>
    <b:Year>2001</b:Year>
    <b:City>La Palta</b:City>
    <b:Publisher>Librería Platense</b:Publisher>
    <b:RefOrder>489</b:RefOrder>
  </b:Source>
  <b:Source>
    <b:Tag>Cla06</b:Tag>
    <b:SourceType>Book</b:SourceType>
    <b:Guid>{1BB512A2-197C-437C-A9BB-678A5F3E3705}</b:Guid>
    <b:Author>
      <b:Author>
        <b:NameList>
          <b:Person>
            <b:Last>Roxin</b:Last>
            <b:First>Claus</b:First>
          </b:Person>
        </b:NameList>
      </b:Author>
    </b:Author>
    <b:Title>Derecho Penal - Parte General Tomo I</b:Title>
    <b:Year>2006</b:Year>
    <b:City>Madrid </b:City>
    <b:Publisher>Rodona Industria Gráfica</b:Publisher>
    <b:RefOrder>490</b:RefOrder>
  </b:Source>
  <b:Source>
    <b:Tag>Rob05</b:Tag>
    <b:SourceType>Book</b:SourceType>
    <b:Guid>{C5C9089E-BF18-4586-90E7-FC6A3DB4EB10}</b:Guid>
    <b:Author>
      <b:Author>
        <b:NameList>
          <b:Person>
            <b:Last>Alexy</b:Last>
            <b:First>Robert</b:First>
          </b:Person>
        </b:NameList>
      </b:Author>
    </b:Author>
    <b:Title>Teoría de los derechos fundamentales </b:Title>
    <b:Year>2005</b:Year>
    <b:City>Madrid</b:City>
    <b:Publisher>Centro de Estudios Políticos y Constitucionales</b:Publisher>
    <b:RefOrder>491</b:RefOrder>
  </b:Source>
  <b:Source>
    <b:Tag>She15</b:Tag>
    <b:SourceType>DocumentFromInternetSite</b:SourceType>
    <b:Guid>{F3ADE7F0-5451-445E-9980-5FE206AD554E}</b:Guid>
    <b:Title>Revista Jurídica de la Universidad Católica de Guayaquil. </b:Title>
    <b:Year>2015</b:Year>
    <b:Month>septiembre</b:Month>
    <b:Day>27</b:Day>
    <b:YearAccessed>28</b:YearAccessed>
    <b:MonthAccessed>septiembre</b:MonthAccessed>
    <b:DayAccessed>2015</b:DayAccessed>
    <b:URL>http://www.revistajuridicaonline.com/index.php?option=com_content&amp;task=view&amp;id=701&amp;Itemid=116</b:URL>
    <b:Author>
      <b:Author>
        <b:NameList>
          <b:Person>
            <b:Last>Guerrero</b:Last>
            <b:First>Shelya</b:First>
          </b:Person>
        </b:NameList>
      </b:Author>
    </b:Author>
    <b:RefOrder>492</b:RefOrder>
  </b:Source>
  <b:Source>
    <b:Tag>Cor10</b:Tag>
    <b:SourceType>Report</b:SourceType>
    <b:Guid>{AF2D28EA-B986-4458-A0DE-195728146089}</b:Guid>
    <b:Title>Caso Velásquez Rodríguez vs Honduras.</b:Title>
    <b:Year>2010</b:Year>
    <b:Author>
      <b:Author>
        <b:NameList>
          <b:Person>
            <b:Last>IDH</b:Last>
            <b:First>Corte</b:First>
          </b:Person>
        </b:NameList>
      </b:Author>
    </b:Author>
    <b:Publisher>Publicaciones CORTE IDH</b:Publisher>
    <b:RefOrder>493</b:RefOrder>
  </b:Source>
  <b:Source>
    <b:Tag>Jua</b:Tag>
    <b:SourceType>Misc</b:SourceType>
    <b:Guid>{31DD506F-72D9-4E3D-897D-FF86C509E81A}</b:Guid>
    <b:Author>
      <b:Author>
        <b:NameList>
          <b:Person>
            <b:Last>Méndez</b:Last>
            <b:First>Juan</b:First>
          </b:Person>
        </b:NameList>
      </b:Author>
    </b:Author>
    <b:Title>Derecho a la Verdad Frente a Graves Violaciones de los Derechos Humanos</b:Title>
    <b:RefOrder>494</b:RefOrder>
  </b:Source>
  <b:Source>
    <b:Tag>Jua05</b:Tag>
    <b:SourceType>Misc</b:SourceType>
    <b:Guid>{88FFAA5D-6814-46FC-B866-69F996B644A2}</b:Guid>
    <b:Author>
      <b:Author>
        <b:NameList>
          <b:Person>
            <b:Last>Méndez</b:Last>
            <b:First>Juan</b:First>
          </b:Person>
        </b:NameList>
      </b:Author>
    </b:Author>
    <b:Title>Derecho a la Verdad frente a Graves Violaciones de los Derechos Humanos</b:Title>
    <b:Year>2005</b:Year>
    <b:Month>Julio</b:Month>
    <b:City>Lima</b:City>
    <b:Publisher>Primer Programa Andino de Derechos Humanos</b:Publisher>
    <b:RefOrder>495</b:RefOrder>
  </b:Source>
  <b:Source>
    <b:Tag>Reg14</b:Tag>
    <b:SourceType>Misc</b:SourceType>
    <b:Guid>{63A31D80-3B79-40B4-B69D-CB558406A792}</b:Guid>
    <b:Author>
      <b:Author>
        <b:NameList>
          <b:Person>
            <b:Last>Oficial</b:Last>
            <b:First>Registro</b:First>
          </b:Person>
        </b:NameList>
      </b:Author>
    </b:Author>
    <b:Title>Código Orgánico Integral Penal </b:Title>
    <b:Year>2014</b:Year>
    <b:Month>febrero</b:Month>
    <b:Day>10</b:Day>
    <b:CountryRegion>Ecuador</b:CountryRegion>
    <b:RefOrder>496</b:RefOrder>
  </b:Source>
  <b:Source>
    <b:Tag>Edu94</b:Tag>
    <b:SourceType>Case</b:SourceType>
    <b:Guid>{07212E22-2738-4527-BF76-4F47CB7D6D41}</b:Guid>
    <b:Title>Eduardo Cifuentes Muñoz</b:Title>
    <b:Year>1994</b:Year>
    <b:Month>febrero</b:Month>
    <b:Day>12</b:Day>
    <b:CaseNumber>T- 443 </b:CaseNumber>
    <b:Court>Corte Constitucional de Colombia</b:Court>
    <b:RefOrder>497</b:RefOrder>
  </b:Source>
  <b:Source>
    <b:Tag>Tom14</b:Tag>
    <b:SourceType>Book</b:SourceType>
    <b:Guid>{09D713F0-3065-4D6B-A1EA-EC75FAF7E328}</b:Guid>
    <b:Author>
      <b:Author>
        <b:NameList>
          <b:Person>
            <b:Last>Antón</b:Last>
            <b:First>Tomás</b:First>
            <b:Middle>Vives</b:Middle>
          </b:Person>
        </b:NameList>
      </b:Author>
    </b:Author>
    <b:Title>Fundamentos del Sistema Penal </b:Title>
    <b:Year>2014</b:Year>
    <b:City>Valencia</b:City>
    <b:Publisher>Tirant lo Blanch</b:Publisher>
    <b:RefOrder>498</b:RefOrder>
  </b:Source>
  <b:Source>
    <b:Tag>Ger13</b:Tag>
    <b:SourceType>Book</b:SourceType>
    <b:Guid>{78067E20-D43A-494B-8E44-E3BC4B205451}</b:Guid>
    <b:Author>
      <b:Author>
        <b:NameList>
          <b:Person>
            <b:Last>Cruz</b:Last>
            <b:First>Gerardo</b:First>
            <b:Middle>Eto</b:Middle>
          </b:Person>
        </b:NameList>
      </b:Author>
    </b:Author>
    <b:Title>Constitución y Procesos Constitucionales TOMO I</b:Title>
    <b:Year>2013</b:Year>
    <b:City>Lima </b:City>
    <b:Publisher>Adrus Editores</b:Publisher>
    <b:RefOrder>499</b:RefOrder>
  </b:Source>
  <b:Source>
    <b:Tag>SEN14</b:Tag>
    <b:SourceType>Case</b:SourceType>
    <b:Guid>{C2066F1D-4ED8-4959-90E5-9F1E5AC65DCC}</b:Guid>
    <b:Title>SENTENCIA N.o 114-14-SEP-CC</b:Title>
    <b:Year>2014</b:Year>
    <b:Month>agosto</b:Month>
    <b:Day>6</b:Day>
    <b:CaseNumber>CASO N.o 1852-11-EP</b:CaseNumber>
    <b:Court>Corte Constitucional de Ecuador</b:Court>
    <b:RefOrder>500</b:RefOrder>
  </b:Source>
  <b:Source>
    <b:Tag>Sen</b:Tag>
    <b:SourceType>Case</b:SourceType>
    <b:Guid>{824957D0-0B5C-4541-9E4F-FA89C20C4C00}</b:Guid>
    <b:Title>Sentencia N.º 007-09-SEP-CC </b:Title>
    <b:CaseNumber> N. 0 0050-08-EP.</b:CaseNumber>
    <b:Court>Corte Constitucional para el período de transición</b:Court>
    <b:RefOrder>501</b:RefOrder>
  </b:Source>
  <b:Source>
    <b:Tag>Sen1</b:Tag>
    <b:SourceType>Case</b:SourceType>
    <b:Guid>{CF98CA3A-1774-4A4B-9292-792241F4F4E1}</b:Guid>
    <b:Title>Sentencia N. 0 0001-09-SCN-CC</b:Title>
    <b:CaseNumber>N.o 0002-08-.</b:CaseNumber>
    <b:Court>Corte Constitucional, para el período de transición</b:Court>
    <b:RefOrder>502</b:RefOrder>
  </b:Source>
  <b:Source>
    <b:Tag>Jos06</b:Tag>
    <b:SourceType>Book</b:SourceType>
    <b:Guid>{4183E7D5-FC6C-45D1-A621-B66595ED175F}</b:Guid>
    <b:Author>
      <b:Author>
        <b:NameList>
          <b:Person>
            <b:Last>Mir</b:Last>
            <b:First>José</b:First>
            <b:Middle>Cerezo</b:Middle>
          </b:Person>
        </b:NameList>
      </b:Author>
    </b:Author>
    <b:Title>Obras Completas - Otros Estudios</b:Title>
    <b:Year>2006</b:Year>
    <b:City>Lima </b:City>
    <b:Publisher>Ara Editores</b:Publisher>
    <b:RefOrder>503</b:RefOrder>
  </b:Source>
  <b:Source>
    <b:Tag>Rea15</b:Tag>
    <b:SourceType>InternetSite</b:SourceType>
    <b:Guid>{A6838FBD-D349-4BFB-8EAA-9A4BE824C31D}</b:Guid>
    <b:Title>Real Acdemía de la Lengua Española</b:Title>
    <b:Author>
      <b:Author>
        <b:NameList>
          <b:Person>
            <b:Last>Lengua</b:Last>
            <b:First>Real</b:First>
            <b:Middle>Academía de la</b:Middle>
          </b:Person>
        </b:NameList>
      </b:Author>
    </b:Author>
    <b:YearAccessed>2015</b:YearAccessed>
    <b:MonthAccessed>septiembre</b:MonthAccessed>
    <b:DayAccessed>29</b:DayAccessed>
    <b:URL>http://www.rae.es.</b:URL>
    <b:RefOrder>504</b:RefOrder>
  </b:Source>
  <b:Source>
    <b:Tag>Pas03</b:Tag>
    <b:SourceType>Book</b:SourceType>
    <b:Guid>{22975479-E3AB-4E60-AE5D-F0128182196B}</b:Guid>
    <b:Author>
      <b:Author>
        <b:NameList>
          <b:Person>
            <b:Last>Pasquero</b:Last>
            <b:First>María</b:First>
            <b:Middle>Laura. (2001). Derechos humanos de las víctimas del delito. Cuarto certamen de ensayos sobre derechos humanos. Edición 1ra. Comisión de Derechos Humanos del Estado de México. Toluca, México.</b:Middle>
          </b:Person>
        </b:NameList>
      </b:Author>
    </b:Author>
    <b:Title>Derechos Humanos de las víctimas del delito</b:Title>
    <b:Year>2003</b:Year>
    <b:City>Toluca</b:City>
    <b:Publisher>Primer Comisión de Derechos Humanos del Estado de México</b:Publisher>
    <b:RefOrder>505</b:RefOrder>
  </b:Source>
  <b:Source>
    <b:Tag>Jul13</b:Tag>
    <b:SourceType>Book</b:SourceType>
    <b:Guid>{E4FB7239-28EA-43CF-A3F3-5678F2A448C1}</b:Guid>
    <b:Author>
      <b:Author>
        <b:NameList>
          <b:Person>
            <b:Last>MAIER</b:Last>
            <b:First>Julio</b:First>
            <b:Middle>B. J.</b:Middle>
          </b:Person>
        </b:NameList>
      </b:Author>
    </b:Author>
    <b:Title>Función Normativa de la Nulidad</b:Title>
    <b:Year>2013</b:Year>
    <b:City>Buenos Aires</b:City>
    <b:Publisher>Lad Hoc</b:Publisher>
    <b:RefOrder>506</b:RefOrder>
  </b:Source>
  <b:Source>
    <b:Tag>ZAV07</b:Tag>
    <b:SourceType>Book</b:SourceType>
    <b:Guid>{FC139422-A6D1-4705-913F-94CA51CECF83}</b:Guid>
    <b:Author>
      <b:Author>
        <b:NameList>
          <b:Person>
            <b:Last>ZAVALA</b:Last>
            <b:First>Baquerizo</b:First>
            <b:Middle>Jorge</b:Middle>
          </b:Person>
        </b:NameList>
      </b:Author>
    </b:Author>
    <b:Title>TRATADO DE DERECHO PROCESAL PENAL.‐ Tomo IX</b:Title>
    <b:Year>2007</b:Year>
    <b:City>Guayaquil </b:City>
    <b:Publisher>Edino</b:Publisher>
    <b:RefOrder>507</b:RefOrder>
  </b:Source>
  <b:Source>
    <b:Tag>JUL04</b:Tag>
    <b:SourceType>Book</b:SourceType>
    <b:Guid>{0D0E5121-4183-45F7-B4DD-573A11151940}</b:Guid>
    <b:Author>
      <b:Author>
        <b:NameList>
          <b:Person>
            <b:Last>MAIER</b:Last>
            <b:First>JULIO.</b:First>
            <b:Middle>B. J.</b:Middle>
          </b:Person>
        </b:NameList>
      </b:Author>
    </b:Author>
    <b:Title>DERECHO PROCESAL PENAL TOMO I</b:Title>
    <b:Year>2004</b:Year>
    <b:City>Buenos Aires </b:City>
    <b:Publisher>Editores del Puerto S.A.</b:Publisher>
    <b:RefOrder>508</b:RefOrder>
  </b:Source>
  <b:Source>
    <b:Tag>Abr02</b:Tag>
    <b:SourceType>JournalArticle</b:SourceType>
    <b:Guid>{F53A004A-E931-40FF-B0E3-B699C5B37B9A}</b:Guid>
    <b:Title>Costos laborales de hombres y mujeres en países de</b:Title>
    <b:Year>2002</b:Year>
    <b:City>Santiago de Chile</b:City>
    <b:Author>
      <b:Author>
        <b:NameList>
          <b:Person>
            <b:Last>Abramo</b:Last>
            <b:First>L.</b:First>
          </b:Person>
        </b:NameList>
      </b:Author>
    </b:Author>
    <b:JournalName>OIT, Políticas de Empleo.</b:JournalName>
    <b:Pages>49</b:Pages>
    <b:RefOrder>509</b:RefOrder>
  </b:Source>
  <b:Source>
    <b:Tag>Ram20</b:Tag>
    <b:SourceType>InternetSite</b:SourceType>
    <b:Guid>{47F205C0-6A8F-4846-8145-13D99F00EB9D}</b:Guid>
    <b:Title>Grupo Verona</b:Title>
    <b:Year>2020</b:Year>
    <b:Month>Enero</b:Month>
    <b:Day>31</b:Day>
    <b:URL>https://grupoverona.pe/importancia-del-principio-de-continuidad-laboral/https://grupoverona.pe/importancia-del-principio-de-continuidad-laboral/</b:URL>
    <b:Author>
      <b:Author>
        <b:NameList>
          <b:Person>
            <b:Last>Ramirez</b:Last>
            <b:First>Jazmin</b:First>
          </b:Person>
        </b:NameList>
      </b:Author>
    </b:Author>
    <b:RefOrder>510</b:RefOrder>
  </b:Source>
  <b:Source>
    <b:Tag>Toy15</b:Tag>
    <b:SourceType>JournalArticle</b:SourceType>
    <b:Guid>{54841D15-493B-445E-AC49-802E03EFF37F}</b:Guid>
    <b:Title>l tratamiento jurídico de las reestructuraciones empresariales en el Derecho Laboral peruano</b:Title>
    <b:Year>2015</b:Year>
    <b:JournalName>Sociedad Peruana de Derecho del Trabajo y de la Seguridad Social</b:JournalName>
    <b:Pages>129</b:Pages>
    <b:Author>
      <b:Author>
        <b:NameList>
          <b:Person>
            <b:Last>Toyama</b:Last>
            <b:First>J.</b:First>
          </b:Person>
        </b:NameList>
      </b:Author>
    </b:Author>
    <b:RefOrder>511</b:RefOrder>
  </b:Source>
  <b:Source>
    <b:Tag>Vit14</b:Tag>
    <b:SourceType>Misc</b:SourceType>
    <b:Guid>{E159B863-BFD4-4E73-BC74-F56EDB19A74E}</b:Guid>
    <b:Title>La estabilidad laboral en el Ecuador, situación actual del trabajador en base a nuestra Constitución de la República y el Código del Trabajo vigente</b:Title>
    <b:Year>2014</b:Year>
    <b:Month>Julio</b:Month>
    <b:Author>
      <b:Author>
        <b:NameList>
          <b:Person>
            <b:Last>Viteri</b:Last>
            <b:First>Joaquin</b:First>
          </b:Person>
        </b:NameList>
      </b:Author>
    </b:Author>
    <b:PublicationTitle>Universidad Central del Ecuador</b:PublicationTitle>
    <b:City>Quito</b:City>
    <b:StateProvince>Pichincha</b:StateProvince>
    <b:CountryRegion>Ecuador</b:CountryRegion>
    <b:Publisher>http://www.dspace.uce.edu.ec/bitstream/25000/3074/1/T-UCE-0013-Ab-61.pdf</b:Publisher>
    <b:RefOrder>512</b:RefOrder>
  </b:Source>
  <b:Source>
    <b:Tag>Cab98</b:Tag>
    <b:SourceType>Book</b:SourceType>
    <b:Guid>{6E19C0BE-6474-4CEF-A3E2-DCA656D941C2}</b:Guid>
    <b:Title>Diccionario Jurídico Elemental</b:Title>
    <b:Year>1998</b:Year>
    <b:City>Buenos Aires</b:City>
    <b:Publisher>Omeba</b:Publisher>
    <b:Author>
      <b:Author>
        <b:NameList>
          <b:Person>
            <b:Last>Cabanellas</b:Last>
            <b:First>Guillermo</b:First>
          </b:Person>
        </b:NameList>
      </b:Author>
    </b:Author>
    <b:RefOrder>513</b:RefOrder>
  </b:Source>
  <b:Source>
    <b:Tag>MarcadorDePosición19</b:Tag>
    <b:SourceType>Misc</b:SourceType>
    <b:Guid>{E9DEBBF2-A6FE-4D9A-8F45-303BF46E8871}</b:Guid>
    <b:Title>Constitución de la República</b:Title>
    <b:Year>2008</b:Year>
    <b:City>Montecristi</b:City>
    <b:Publisher>Corporación de Estudios y Publicaciones</b:Publisher>
    <b:Month>Septiembre</b:Month>
    <b:StateProvince>Manabí</b:StateProvince>
    <b:CountryRegion>Ecuador</b:CountryRegion>
    <b:Author>
      <b:Author>
        <b:NameList>
          <b:Person>
            <b:Last>Asamblea Nacional</b:Last>
          </b:Person>
        </b:NameList>
      </b:Author>
    </b:Author>
    <b:RefOrder>514</b:RefOrder>
  </b:Source>
  <b:Source>
    <b:Tag>Asa66</b:Tag>
    <b:SourceType>Misc</b:SourceType>
    <b:Guid>{704B193C-59F5-4779-9D4A-A473C0737590}</b:Guid>
    <b:Title>Pacto Internacional de Derechos Económicos, Sociales y Culturales</b:Title>
    <b:Year>1966</b:Year>
    <b:Month>Diciembre</b:Month>
    <b:Day>16</b:Day>
    <b:Author>
      <b:Author>
        <b:NameList>
          <b:Person>
            <b:Last>Asamblea General de las Naciones Unidas</b:Last>
          </b:Person>
        </b:NameList>
      </b:Author>
    </b:Author>
    <b:RefOrder>515</b:RefOrder>
  </b:Source>
  <b:Source>
    <b:Tag>Bus13</b:Tag>
    <b:SourceType>Book</b:SourceType>
    <b:Guid>{E0A2BC03-A909-41E0-8144-F026BFC749FE}</b:Guid>
    <b:Title>Manual de derecho laboral (El contrato individual de trabajo; 5ta Edición</b:Title>
    <b:Year>2013</b:Year>
    <b:City>Quito</b:City>
    <b:Publisher>Editorial Jurídica del Ecuador</b:Publisher>
    <b:Author>
      <b:Author>
        <b:NameList>
          <b:Person>
            <b:Last>Bustamante</b:Last>
            <b:First>Colón</b:First>
          </b:Person>
        </b:NameList>
      </b:Author>
    </b:Author>
    <b:RefOrder>516</b:RefOrder>
  </b:Source>
  <b:Source>
    <b:Tag>Vit06</b:Tag>
    <b:SourceType>Book</b:SourceType>
    <b:Guid>{1770B7A5-9DC3-4BF4-81B7-419996A4B8B4}</b:Guid>
    <b:Title>Derecho colectivo del trabajo</b:Title>
    <b:Year>2006</b:Year>
    <b:City>Quito- Ecuador</b:City>
    <b:Publisher>Editorial Produgrafil center</b:Publisher>
    <b:Author>
      <b:Author>
        <b:NameList>
          <b:Person>
            <b:Last>Viteri</b:Last>
            <b:First>Joaquin</b:First>
          </b:Person>
        </b:NameList>
      </b:Author>
    </b:Author>
    <b:RefOrder>517</b:RefOrder>
  </b:Source>
  <b:Source>
    <b:Tag>Fer</b:Tag>
    <b:SourceType>ConferenceProceedings</b:SourceType>
    <b:Guid>{064EC8CD-B195-4EF8-B118-7DFF871109D7}</b:Guid>
    <b:Title>Ponencia al XII Congreso Nacional de Derecho del Trabajo y Seguridad Social, anales del citado congreso</b:Title>
    <b:Author>
      <b:Author>
        <b:NameList>
          <b:Person>
            <b:Last>Fernandez Madrid</b:Last>
            <b:First>Juan Carlos</b:First>
          </b:Person>
        </b:NameList>
      </b:Author>
    </b:Author>
    <b:Year>2018</b:Year>
    <b:RefOrder>518</b:RefOrder>
  </b:Source>
  <b:Source>
    <b:Tag>Erm11</b:Tag>
    <b:SourceType>JournalArticle</b:SourceType>
    <b:Guid>{F80F9FF5-E7D2-426B-9CC6-322314300692}</b:Guid>
    <b:Title>En palabras del académico uruguayo de derecho laboral</b:Title>
    <b:Year>2011</b:Year>
    <b:JournalName>Cadernos de Amatra</b:JournalName>
    <b:Pages>15</b:Pages>
    <b:Author>
      <b:Author>
        <b:NameList>
          <b:Person>
            <b:Last>Ermida Uriarte</b:Last>
          </b:Person>
        </b:NameList>
      </b:Author>
    </b:Author>
    <b:RefOrder>519</b:RefOrder>
  </b:Source>
  <b:Source>
    <b:Tag>Mar182</b:Tag>
    <b:SourceType>InternetSite</b:SourceType>
    <b:Guid>{FB7D49B0-BD47-466D-9216-8F0BA4F9FF94}</b:Guid>
    <b:Title>La eutanasia: un derecho del siglo XXI</b:Title>
    <b:Year>2018</b:Year>
    <b:JournalName>Scielo</b:JournalName>
    <b:Author>
      <b:Author>
        <b:NameList>
          <b:Person>
            <b:Last>Marín Olalla</b:Last>
            <b:First>Fernando</b:First>
          </b:Person>
        </b:NameList>
      </b:Author>
    </b:Author>
    <b:Month>Mayo</b:Month>
    <b:Day>8</b:Day>
    <b:URL>https://scielo.isciii.es/scielo.php?script=sci_arttext&amp;pid=S0213-91112018000400381</b:URL>
    <b:RefOrder>520</b:RefOrder>
  </b:Source>
  <b:Source>
    <b:Tag>MarcadorDePosición20</b:Tag>
    <b:SourceType>Misc</b:SourceType>
    <b:Guid>{3F2E6779-990F-45C1-AE49-F68BAEADDFA5}</b:Guid>
    <b:Title>Constitución de la República del Ecuador</b:Title>
    <b:PublicationTitle>Registro Oficial 449 </b:PublicationTitle>
    <b:Year>2008</b:Year>
    <b:Month>Octubre</b:Month>
    <b:Day>20</b:Day>
    <b:City>Montecristi</b:City>
    <b:StateProvince>Manabí</b:StateProvince>
    <b:CountryRegion>Ecuador</b:CountryRegion>
    <b:RefOrder>521</b:RefOrder>
  </b:Source>
  <b:Source>
    <b:Tag>MarcadorDePosición21</b:Tag>
    <b:SourceType>Misc</b:SourceType>
    <b:Guid>{4423281A-AF9A-42C4-98A9-3147B33EEBD1}</b:Guid>
    <b:Title>Sentencia T-970/14</b:Title>
    <b:PublicationTitle>Referencia: Expediente T-4.067.849</b:PublicationTitle>
    <b:Year>2014</b:Year>
    <b:Month>diciembre</b:Month>
    <b:Day>15</b:Day>
    <b:City>Bogotá</b:City>
    <b:CountryRegion>Colombia</b:CountryRegion>
    <b:RefOrder>522</b:RefOrder>
  </b:Source>
  <b:Source>
    <b:Tag>Vás20</b:Tag>
    <b:SourceType>Misc</b:SourceType>
    <b:Guid>{FF78A570-7258-4B79-982F-952009D52998}</b:Guid>
    <b:Title>La vida digna en el proceso de muerte, prospección hacia la eutanasia.</b:Title>
    <b:Year>2020</b:Year>
    <b:City>Quito</b:City>
    <b:Publisher>Universidad Andina Simón Bolivar</b:Publisher>
    <b:Author>
      <b:Author>
        <b:NameList>
          <b:Person>
            <b:Last>Vásquez</b:Last>
            <b:Middle>Luis</b:Middle>
            <b:First>José</b:First>
          </b:Person>
        </b:NameList>
      </b:Author>
    </b:Author>
    <b:StateProvince>Pichincha</b:StateProvince>
    <b:CountryRegion>Ecuador</b:CountryRegion>
    <b:RefOrder>523</b:RefOrder>
  </b:Source>
  <b:Source>
    <b:Tag>MarcadorDePosición22</b:Tag>
    <b:SourceType>JournalArticle</b:SourceType>
    <b:Guid>{A8634DE0-62F7-4A9B-8BC1-7C1A966BF635}</b:Guid>
    <b:Author>
      <b:Author>
        <b:NameList>
          <b:Person>
            <b:Last>Freire</b:Last>
            <b:First>Fernanda</b:First>
          </b:Person>
          <b:Person>
            <b:Last>Dias</b:Last>
            <b:First>Roberto</b:First>
          </b:Person>
        </b:NameList>
      </b:Author>
    </b:Author>
    <b:Title>El derecho a la muerte digna:en defensa del suicidio asistido y de la limitación del esfuerzo terapéutico</b:Title>
    <b:Year>2016</b:Year>
    <b:JournalName>Rivista di BioDiritto</b:JournalName>
    <b:RefOrder>524</b:RefOrder>
  </b:Source>
  <b:Source>
    <b:Tag>MarcadorDePosición23</b:Tag>
    <b:SourceType>Misc</b:SourceType>
    <b:Guid>{40FA4E6A-197D-46F9-A29C-137242B1DBD4}</b:Guid>
    <b:Title>Declaración Universal de Derechos Humanos</b:Title>
    <b:Year>1948</b:Year>
    <b:PublicationTitle>Resolución 217 A (III)</b:PublicationTitle>
    <b:Month>diciembre</b:Month>
    <b:Day>10</b:Day>
    <b:RefOrder>525</b:RefOrder>
  </b:Source>
  <b:Source>
    <b:Tag>Con84</b:Tag>
    <b:SourceType>Misc</b:SourceType>
    <b:Guid>{7CAE198B-83EE-4F7B-A75D-CE17081487BC}</b:Guid>
    <b:Title>Convención Interamericana de Derechos Humanos</b:Title>
    <b:PublicationTitle>Registro Oficial 801, Acuerdo Ministerial 202</b:PublicationTitle>
    <b:Year>1984</b:Year>
    <b:Month>Agosto</b:Month>
    <b:Day>6</b:Day>
    <b:City>San José</b:City>
    <b:CountryRegion>Costa Rica</b:CountryRegion>
    <b:RefOrder>526</b:RefOrder>
  </b:Source>
  <b:Source>
    <b:Tag>Cor20</b:Tag>
    <b:SourceType>InternetSite</b:SourceType>
    <b:Guid>{817C6B2D-0537-4920-8440-285AF65C85DA}</b:Guid>
    <b:Author>
      <b:Author>
        <b:NameList>
          <b:Person>
            <b:Last>Correa</b:Last>
            <b:First>Lucas</b:First>
          </b:Person>
        </b:NameList>
      </b:Author>
    </b:Author>
    <b:Title>Desclab</b:Title>
    <b:Year>2020</b:Year>
    <b:Month>junio</b:Month>
    <b:Day>16</b:Day>
    <b:URL>https://www.desclab.com/post/eutanasiacifras</b:URL>
    <b:RefOrder>527</b:RefOrder>
  </b:Source>
  <b:Source>
    <b:Tag>Sen97</b:Tag>
    <b:SourceType>Misc</b:SourceType>
    <b:Guid>{C812FD65-3A13-403B-A1C8-583099ABC1A4}</b:Guid>
    <b:Title>Sentencia No. C-239/97</b:Title>
    <b:Year>1997</b:Year>
    <b:Month>mayo</b:Month>
    <b:Day>20</b:Day>
    <b:PublicationTitle>REF: Expediente No. D-1490</b:PublicationTitle>
    <b:City>Bogotá</b:City>
    <b:CountryRegion>Colombia</b:CountryRegion>
    <b:RefOrder>528</b:RefOrder>
  </b:Source>
  <b:Source>
    <b:Tag>Lor08</b:Tag>
    <b:SourceType>JournalArticle</b:SourceType>
    <b:Guid>{44458363-AB21-47D0-9D94-3CD94AF8BC75}</b:Guid>
    <b:Title>Ética y muerte digna: propuesta de consenso sobre un uso correcto de las palabras</b:Title>
    <b:Year>2008</b:Year>
    <b:Month>Noviembre</b:Month>
    <b:Author>
      <b:Author>
        <b:NameList>
          <b:Person>
            <b:Last>Lorda</b:Last>
            <b:Middle>Simón</b:Middle>
            <b:First>Pablo</b:First>
          </b:Person>
          <b:Person>
            <b:Last>Barrio</b:Last>
            <b:Middle>María</b:Middle>
            <b:First>Inés </b:First>
          </b:Person>
          <b:Person>
            <b:Last>Alarcos</b:Last>
            <b:First>Francisco</b:First>
          </b:Person>
          <b:Person>
            <b:Last>Barbero</b:Last>
            <b:First>Javier</b:First>
          </b:Person>
          <b:Person>
            <b:Last>Couceiro</b:Last>
            <b:First>Azucena</b:First>
          </b:Person>
          <b:Person>
            <b:Last>Robles</b:Last>
            <b:First>Pablo</b:First>
          </b:Person>
        </b:NameList>
      </b:Author>
    </b:Author>
    <b:JournalName>Elsevier</b:JournalName>
    <b:RefOrder>529</b:RefOrder>
  </b:Source>
  <b:Source>
    <b:Tag>MarcadorDePosición24</b:Tag>
    <b:SourceType>Book</b:SourceType>
    <b:Guid>{DED3B675-BD4D-4C7D-A8A8-CD8513464249}</b:Guid>
    <b:Title>Qué hacemos para conseguir que la lucha por una vida digna incluya la exigencia de una muerte digna</b:Title>
    <b:Year>2012</b:Year>
    <b:Author>
      <b:Author>
        <b:NameList>
          <b:Person>
            <b:Last>Montes</b:Last>
            <b:First>Luis</b:First>
          </b:Person>
          <b:Person>
            <b:Last>Marín </b:Last>
            <b:First>Fernando</b:First>
          </b:Person>
          <b:Person>
            <b:Last>Pedrós </b:Last>
            <b:First>Fernando</b:First>
          </b:Person>
          <b:Person>
            <b:Last>Soler</b:Last>
            <b:First>Fernando</b:First>
          </b:Person>
        </b:NameList>
      </b:Author>
    </b:Author>
    <b:City>Madrid-España</b:City>
    <b:Publisher>Ediciones Akal, S.A</b:Publisher>
    <b:RefOrder>530</b:RefOrder>
  </b:Source>
  <b:Source>
    <b:Tag>Fag20</b:Tag>
    <b:SourceType>JournalArticle</b:SourceType>
    <b:Guid>{43509C33-5EEB-469E-9EFD-87566CC17B63}</b:Guid>
    <b:Title>DIRETIVAS ANTECIPADAS DE VONTADE COMO DIREITO FUNDAMENTAL PARA GARANTIR A VIDA E MORTE DIGNA.</b:Title>
    <b:Year>2020</b:Year>
    <b:JournalName> REVISTA BRASILEIRA DE DIREITO CIVIL EM PERSPECTIVA</b:JournalName>
    <b:Author>
      <b:Author>
        <b:NameList>
          <b:Person>
            <b:Last>Fagundes Isolani</b:Last>
            <b:First>Lucas</b:First>
          </b:Person>
        </b:NameList>
      </b:Author>
    </b:Author>
    <b:RefOrder>531</b:RefOrder>
  </b:Source>
  <b:Source>
    <b:Tag>Cor21</b:Tag>
    <b:SourceType>JournalArticle</b:SourceType>
    <b:Guid>{AE3D33A9-95E4-4D1A-AB09-DF39D004D081}</b:Guid>
    <b:Author>
      <b:Author>
        <b:NameList>
          <b:Person>
            <b:Last>Correa</b:Last>
            <b:First>Lucas</b:First>
          </b:Person>
        </b:NameList>
      </b:Author>
    </b:Author>
    <b:Title>Eutanasia en Colombia: 24 cifras para tomar el control y saber más sobre muerte digna</b:Title>
    <b:JournalName>DESC/LAB</b:JournalName>
    <b:Year>2021</b:Year>
    <b:RefOrder>532</b:RefOrder>
  </b:Source>
  <b:Source>
    <b:Tag>Fab20</b:Tag>
    <b:SourceType>JournalArticle</b:SourceType>
    <b:Guid>{128BA0E4-F647-4507-B6D2-6F36D46E99FA}</b:Guid>
    <b:Title>Muerte Digna</b:Title>
    <b:JournalName>Enfoques Jurídicos</b:JournalName>
    <b:Year>2020</b:Year>
    <b:Pages>42</b:Pages>
    <b:Author>
      <b:Author>
        <b:NameList>
          <b:Person>
            <b:Last>Fabre</b:Last>
            <b:First>Armando</b:First>
          </b:Person>
          <b:Person>
            <b:Last>Hernández</b:Last>
            <b:First>Modesta</b:First>
            <b:Middle>Lorena</b:Middle>
          </b:Person>
        </b:NameList>
      </b:Author>
    </b:Author>
    <b:RefOrder>533</b:RefOrder>
  </b:Source>
  <b:Source>
    <b:Tag>Mac08</b:Tag>
    <b:SourceType>Report</b:SourceType>
    <b:Guid>{61506B9E-E71B-4B5B-96D4-7B007E0AD8C4}</b:Guid>
    <b:Title>Concepto Legal de Muerte Digna</b:Title>
    <b:Year>2008</b:Year>
    <b:Author>
      <b:Author>
        <b:NameList>
          <b:Person>
            <b:Last>Maciá Gómez</b:Last>
            <b:First>Ramón</b:First>
          </b:Person>
        </b:NameList>
      </b:Author>
    </b:Author>
    <b:RefOrder>534</b:RefOrder>
  </b:Source>
  <b:Source>
    <b:Tag>Bet17</b:Tag>
    <b:SourceType>JournalArticle</b:SourceType>
    <b:Guid>{12ECAE08-E65C-4D34-AA4A-B7A03668DEEF}</b:Guid>
    <b:Title>Muerte digna y adecuación del esfuerzo terapéutico</b:Title>
    <b:Year>2017</b:Year>
    <b:Author>
      <b:Author>
        <b:NameList>
          <b:Person>
            <b:Last>Betancourt</b:Last>
            <b:First>Gilberto</b:First>
            <b:Middle>de Jesús Betancurt</b:Middle>
          </b:Person>
          <b:Person>
            <b:Last>Betancourt Reyes</b:Last>
            <b:First>Gilberto</b:First>
            <b:Middle>Lázaro</b:Middle>
          </b:Person>
        </b:NameList>
      </b:Author>
    </b:Author>
    <b:JournalName>Medimay</b:JournalName>
    <b:Pages>58,59</b:Pages>
    <b:RefOrder>535</b:RefOrder>
  </b:Source>
  <b:Source>
    <b:Tag>Gar07</b:Tag>
    <b:SourceType>JournalArticle</b:SourceType>
    <b:Guid>{F46CF357-447D-404C-9F5D-8FD462AC6659}</b:Guid>
    <b:Title>Derecho a la vida digna Derecho a la vida digna Derecho a la vida digna</b:Title>
    <b:JournalName>Opinión Jurídica- Universidad de Medellín</b:JournalName>
    <b:Year>2007</b:Year>
    <b:Author>
      <b:Author>
        <b:NameList>
          <b:Person>
            <b:Last>García</b:Last>
            <b:First>Gustavo</b:First>
            <b:Middle>Adolfo</b:Middle>
          </b:Person>
        </b:NameList>
      </b:Author>
    </b:Author>
    <b:RefOrder>536</b:RefOrder>
  </b:Source>
  <b:Source>
    <b:Tag>Mar181</b:Tag>
    <b:SourceType>JournalArticle</b:SourceType>
    <b:Guid>{178803C1-5050-4A24-89F6-3043F59BDA7B}</b:Guid>
    <b:Title>La eutanasia: un derecho del siglo xxi</b:Title>
    <b:Year>2018</b:Year>
    <b:Author>
      <b:Author>
        <b:NameList>
          <b:Person>
            <b:Last>Marín Olalla</b:Last>
            <b:First>Fernando</b:First>
          </b:Person>
        </b:NameList>
      </b:Author>
    </b:Author>
    <b:JournalName>Gaceta Sanitaria</b:JournalName>
    <b:RefOrder>537</b:RefOrder>
  </b:Source>
  <b:Source>
    <b:Tag>Mar18</b:Tag>
    <b:SourceType>JournalArticle</b:SourceType>
    <b:Guid>{9C5B54CF-A080-4782-9D13-D548CBBA671C}</b:Guid>
    <b:RefOrder>538</b:RefOrder>
  </b:Source>
  <b:Source>
    <b:Tag>Pie20</b:Tag>
    <b:SourceType>Book</b:SourceType>
    <b:Guid>{AE21D253-E716-46F6-AC2F-4B842A02709F}</b:Guid>
    <b:Title>El derecho a la muerte digna como fundamento contenido en la dignidad humana dentro del Estado Constitucional Ecuatoriano</b:Title>
    <b:Year>2020</b:Year>
    <b:City>Quito</b:City>
    <b:Publisher>Universidad Andina Simón Bolivar</b:Publisher>
    <b:Author>
      <b:Author>
        <b:NameList>
          <b:Person>
            <b:Last>Piedra</b:Last>
            <b:First>Diego</b:First>
          </b:Person>
        </b:NameList>
      </b:Author>
    </b:Author>
    <b:RefOrder>539</b:RefOrder>
  </b:Source>
  <b:Source>
    <b:Tag>ECH61</b:Tag>
    <b:SourceType>Book</b:SourceType>
    <b:Guid>{33ADF26A-3839-694D-8520-295C2F6BBC22}</b:Guid>
    <b:Author>
      <b:Author>
        <b:NameList>
          <b:Person>
            <b:Last>ECHEVERRIA GAVILANES</b:Last>
            <b:First>Enrique</b:First>
          </b:Person>
        </b:NameList>
      </b:Author>
    </b:Author>
    <b:Title>RECURSO DE HÁBEAS CORPUS Y RECURSO DE LIBERTAD EN EL ECUADOR</b:Title>
    <b:City>QUITO</b:City>
    <b:Publisher>CASA DE LA CULTURA ECUATORIANA</b:Publisher>
    <b:Year>1961</b:Year>
    <b:RefOrder>540</b:RefOrder>
  </b:Source>
  <b:Source>
    <b:Tag>TRU13</b:Tag>
    <b:SourceType>Book</b:SourceType>
    <b:Guid>{70CCBA0E-5B10-F540-A215-EF4D6350D149}</b:Guid>
    <b:Author>
      <b:Author>
        <b:NameList>
          <b:Person>
            <b:Last>TRUJILLO</b:Last>
            <b:First>Julio</b:First>
            <b:Middle>César</b:Middle>
          </b:Person>
        </b:NameList>
      </b:Author>
    </b:Author>
    <b:Title>CONSTITUCIONALISMO CONTEMPORÁNEO. Teoría, Procesos, procedimientos y retos </b:Title>
    <b:City>QUITO</b:City>
    <b:Publisher>UNIVERSIDAD ANDINA SIMÓN BOLÍVAR</b:Publisher>
    <b:Year>2013</b:Year>
    <b:RefOrder>541</b:RefOrder>
  </b:Source>
  <b:Source>
    <b:Tag>BOR972</b:Tag>
    <b:SourceType>Book</b:SourceType>
    <b:Guid>{857353D7-CEBD-9245-93C4-3B78FEAFD340}</b:Guid>
    <b:Author>
      <b:Author>
        <b:NameList>
          <b:Person>
            <b:Last>BORJA CEVALLOS</b:Last>
            <b:First>Rodrigo</b:First>
          </b:Person>
        </b:NameList>
      </b:Author>
    </b:Author>
    <b:Title>ENCICLOPEDIA DE LA POLÍTICA</b:Title>
    <b:City>MEXICO</b:City>
    <b:Publisher>FONDO DE CULTURA ECONÓMICA</b:Publisher>
    <b:Year>1997.</b:Year>
    <b:RefOrder>542</b:RefOrder>
  </b:Source>
  <b:Source>
    <b:Tag>ROM21</b:Tag>
    <b:SourceType>Book</b:SourceType>
    <b:Guid>{BCF23CCE-6F9F-0749-AF65-3D0D91CA3EFE}</b:Guid>
    <b:Author>
      <b:Author>
        <b:NameList>
          <b:Person>
            <b:Last>ROMERO HERRERA</b:Last>
            <b:First>Julia</b:First>
          </b:Person>
        </b:NameList>
      </b:Author>
    </b:Author>
    <b:Title>DERECHOS DE LIBERTAD. Libertad personal, libre tránsito, residencia y reunión</b:Title>
    <b:City>LIMA</b:City>
    <b:Publisher>PALESTRA</b:Publisher>
    <b:Year>2021</b:Year>
    <b:RefOrder>543</b:RefOrder>
  </b:Source>
  <b:Source>
    <b:Tag>ROM211</b:Tag>
    <b:SourceType>Book</b:SourceType>
    <b:Guid>{2B4C3F7A-FB53-DB4D-B7EA-552D7C37EA50}</b:Guid>
    <b:Author>
      <b:Author>
        <b:NameList>
          <b:Person>
            <b:Last>ROMERO HERRERA</b:Last>
            <b:First>Julia</b:First>
          </b:Person>
        </b:NameList>
      </b:Author>
    </b:Author>
    <b:Title>DERECHOS DE LIBERTAD. Libertad personal, libre tránsito, residencia y reunión.</b:Title>
    <b:City>LIMA</b:City>
    <b:Publisher>PALESTRA</b:Publisher>
    <b:Year>2021</b:Year>
    <b:RefOrder>544</b:RefOrder>
  </b:Source>
  <b:Source>
    <b:Tag>BRA04</b:Tag>
    <b:SourceType>Book</b:SourceType>
    <b:Guid>{7D6010F7-CCA6-7444-85EA-6202F5E6FF24}</b:Guid>
    <b:Author>
      <b:Author>
        <b:NameList>
          <b:Person>
            <b:Last>BRAGE CAMAZANO</b:Last>
            <b:First>Joaquín</b:First>
          </b:Person>
        </b:NameList>
      </b:Author>
    </b:Author>
    <b:Title>LOS LÍMITES A LOS DERECHOS FUNDAMENTALES</b:Title>
    <b:City>MADRID</b:City>
    <b:Publisher>DYKINSON</b:Publisher>
    <b:Year>2004</b:Year>
    <b:RefOrder>545</b:RefOrder>
  </b:Source>
  <b:Source>
    <b:Tag>FER14</b:Tag>
    <b:SourceType>Book</b:SourceType>
    <b:Guid>{4D085C50-DA18-B84E-A0F4-3194D305A746}</b:Guid>
    <b:Author>
      <b:Author>
        <b:NameList>
          <b:Person>
            <b:Last>FERRER MAC-GREGOR</b:Last>
            <b:First>Eduardo</b:First>
          </b:Person>
        </b:NameList>
      </b:Author>
    </b:Author>
    <b:Title>DICCIONARIO DE DERECHO PROCESAL CONSTITUCIONAL Y CONVENCIONAL</b:Title>
    <b:City>MEXICO</b:City>
    <b:Publisher>INSTITUTO DE INVESTIGACIONES JURÍDICAS</b:Publisher>
    <b:Year>2014</b:Year>
    <b:RefOrder>546</b:RefOrder>
  </b:Source>
  <b:Source>
    <b:Tag>CEN09</b:Tag>
    <b:SourceType>Book</b:SourceType>
    <b:Guid>{B7F828D1-323E-F243-ACDF-8B6CB093FB60}</b:Guid>
    <b:Author>
      <b:Author>
        <b:NameList>
          <b:Person>
            <b:Last>PERÚ</b:Last>
            <b:First>CENTRO</b:First>
            <b:Middle>DE ESTUDIOS CONSTITUCIONALES DEL</b:Middle>
          </b:Person>
        </b:NameList>
      </b:Author>
    </b:Author>
    <b:Title>EL HÁBEAS CORPUS EN LA ACTUALIDAD</b:Title>
    <b:City>LIMA</b:City>
    <b:Publisher>CENTRO DE ESTUDIOS CONSTITUCIONALES</b:Publisher>
    <b:Year>2018</b:Year>
    <b:RefOrder>547</b:RefOrder>
  </b:Source>
  <b:Source>
    <b:Tag>CAS12</b:Tag>
    <b:SourceType>Book</b:SourceType>
    <b:Guid>{591172C6-7499-834E-9D98-CD723EF0D64C}</b:Guid>
    <b:Author>
      <b:Author>
        <b:NameList>
          <b:Person>
            <b:Last>CASTILLA JÚAREZ</b:Last>
            <b:First>Karlos</b:First>
          </b:Person>
        </b:NameList>
      </b:Author>
    </b:Author>
    <b:Title>ACCESO EFECTIVO A LA JUSTICIA</b:Title>
    <b:City>MÉXICO</b:City>
    <b:Publisher>PORRÚA</b:Publisher>
    <b:Year>2012</b:Year>
    <b:RefOrder>548</b:RefOrder>
  </b:Source>
  <b:Source>
    <b:Tag>VEL10</b:Tag>
    <b:SourceType>Book</b:SourceType>
    <b:Guid>{77068AE9-0355-794A-BC19-CF9EF7F64B28}</b:Guid>
    <b:Author>
      <b:Author>
        <b:NameList>
          <b:Person>
            <b:Last>VELAZQUEZ VELAZQUEZ</b:Last>
            <b:First>Santiago</b:First>
          </b:Person>
        </b:NameList>
      </b:Author>
    </b:Author>
    <b:Title>MANUAL DE DERECHO PROCESAL CONSTITUCIONAL ECUATORIANO</b:Title>
    <b:City>QUITO</b:City>
    <b:Publisher>EDINO</b:Publisher>
    <b:Year>2010</b:Year>
    <b:RefOrder>549</b:RefOrder>
  </b:Source>
  <b:Source>
    <b:Tag>MarcadorDePosición25</b:Tag>
    <b:SourceType>JournalArticle</b:SourceType>
    <b:Guid>{E0FE6486-9624-419F-8462-494E8E9A293C}</b:Guid>
    <b:Author>
      <b:Author>
        <b:NameList>
          <b:Person>
            <b:Last>Gallegos</b:Last>
            <b:First>S</b:First>
          </b:Person>
          <b:Person>
            <b:Last>Vargas</b:Last>
            <b:First>S</b:First>
          </b:Person>
        </b:NameList>
      </b:Author>
    </b:Author>
    <b:Title>Responsabilidad Social en el manejo contable y financiero de los Gobiernos Autónomos Descentralizados del Ecuador”: Caso Gad Parroquial de la Provincia de Bolívar</b:Title>
    <b:JournalName>RRAAE</b:JournalName>
    <b:Year>2017</b:Year>
    <b:URL>http://dspace.ueb.edu.ec/handle/123456789/2016</b:URL>
    <b:RefOrder>550</b:RefOrder>
  </b:Source>
  <b:Source>
    <b:Tag>Gom13</b:Tag>
    <b:SourceType>JournalArticle</b:SourceType>
    <b:Guid>{0E4951F2-D851-417F-9A65-F990D746E872}</b:Guid>
    <b:Author>
      <b:Author>
        <b:NameList>
          <b:Person>
            <b:Last>Gomez</b:Last>
          </b:Person>
        </b:NameList>
      </b:Author>
    </b:Author>
    <b:Title>“El actual modelo de descentralización en el Ecuador: un desafío para los gobiernos autónomos descentralizados”</b:Title>
    <b:JournalName>FORO</b:JournalName>
    <b:Year>2013</b:Year>
    <b:URL>https://repositorio.uasb.edu.ec/bitstream/10644/4225/1/03-TC-Batallas.pdf</b:URL>
    <b:RefOrder>551</b:RefOrder>
  </b:Source>
  <b:Source>
    <b:Tag>Gri17</b:Tag>
    <b:SourceType>JournalArticle</b:SourceType>
    <b:Guid>{06615520-2A76-4FA8-BD4A-6A6F4A544482}</b:Guid>
    <b:Author>
      <b:Author>
        <b:NameList>
          <b:Person>
            <b:Last>Grin</b:Last>
            <b:First>E</b:First>
          </b:Person>
          <b:Person>
            <b:Last>Boniveto</b:Last>
            <b:First>J</b:First>
          </b:Person>
          <b:Person>
            <b:Last>Abrucio</b:Last>
            <b:First>F</b:First>
          </b:Person>
        </b:NameList>
      </b:Author>
    </b:Author>
    <b:Title>El gobierno de las grandes ciudades: Gobernanza y descentralización en las metrópolis de América latina</b:Title>
    <b:JournalName>POLITAI</b:JournalName>
    <b:Year>2017</b:Year>
    <b:DOI>https://doi.org/10.18800/politai.201801.007</b:DOI>
    <b:RefOrder>552</b:RefOrder>
  </b:Source>
  <b:Source>
    <b:Tag>Tor20</b:Tag>
    <b:SourceType>JournalArticle</b:SourceType>
    <b:Guid>{B45FD52F-9637-4F01-A93D-70DE85590E1B}</b:Guid>
    <b:Author>
      <b:Author>
        <b:NameList>
          <b:Person>
            <b:Last>Torres Maldonado</b:Last>
            <b:First>Angel</b:First>
          </b:Person>
        </b:NameList>
      </b:Author>
    </b:Author>
    <b:Title>Solución de conflictos de competencias municipales: Ecuador</b:Title>
    <b:JournalName>Derecho del Estado</b:JournalName>
    <b:Year>2020</b:Year>
    <b:StandardNumber>0122-9893</b:StandardNumber>
    <b:URL>https://www.redalyc.org/jatsRepo/3376/337662821008/337662821008.pdf</b:URL>
    <b:RefOrder>553</b:RefOrder>
  </b:Source>
  <b:Source>
    <b:Tag>Alb</b:Tag>
    <b:SourceType>DocumentFromInternetSite</b:SourceType>
    <b:Guid>{0AA2DFDA-F784-42B0-8471-7D23E4A1B68B}</b:Guid>
    <b:Title>Universidad Casa Grande</b:Title>
    <b:Author>
      <b:Author>
        <b:NameList>
          <b:Person>
            <b:Last>Albornoz</b:Last>
            <b:First>Juana</b:First>
          </b:Person>
        </b:NameList>
      </b:Author>
    </b:Author>
    <b:URL>http://dspace.casagrande.edu.ec:8080/bitstream/ucasagrande/1034/1/Tesis1263ALBp.pdf</b:URL>
    <b:Year>2016</b:Year>
    <b:Month>Diciembre</b:Month>
    <b:RefOrder>554</b:RefOrder>
  </b:Source>
  <b:Source>
    <b:Tag>Val19</b:Tag>
    <b:SourceType>JournalArticle</b:SourceType>
    <b:Guid>{1ACF27B3-46C6-4A9F-9A09-415CCF89F580}</b:Guid>
    <b:Title>“Los tres tipos de competencial que estructuran la descentralización en América del Sur”</b:Title>
    <b:Year>2019</b:Year>
    <b:URL>https://www.scielo.br/j/rap/a/svP9RLXVMzMzG39RTLk5GgP/?lang=es</b:URL>
    <b:DOI> https://doi.org/10.1590/0034-761220180122</b:DOI>
    <b:Author>
      <b:Author>
        <b:NameList>
          <b:Person>
            <b:Last>Valenzuela</b:Last>
            <b:First>E</b:First>
          </b:Person>
          <b:Person>
            <b:Last>Henriqez</b:Last>
            <b:First>O</b:First>
          </b:Person>
          <b:Person>
            <b:Last>Cienfuegos</b:Last>
            <b:First>I</b:First>
          </b:Person>
        </b:NameList>
      </b:Author>
    </b:Author>
    <b:RefOrder>555</b:RefOrder>
  </b:Source>
  <b:Source>
    <b:Tag>Aya17</b:Tag>
    <b:SourceType>JournalArticle</b:SourceType>
    <b:Guid>{EDBF84DC-578E-4084-839F-1236E8431FFA}</b:Guid>
    <b:Title>Origen y destino de recursos del presupuesto de los GADs Municipales: estudio del Cantón Morona</b:Title>
    <b:JournalName>Dialnet</b:JournalName>
    <b:Year>2017</b:Year>
    <b:Author>
      <b:Author>
        <b:NameList>
          <b:Person>
            <b:Last>Ayala</b:Last>
            <b:First>Sara</b:First>
          </b:Person>
          <b:Person>
            <b:Last>Zaruma</b:Last>
            <b:First>María</b:First>
          </b:Person>
          <b:Person>
            <b:Last>Barragán</b:Last>
            <b:First>Hilda</b:First>
          </b:Person>
        </b:NameList>
      </b:Author>
    </b:Author>
    <b:StandardNumber>2528-8008</b:StandardNumber>
    <b:URL>https://dialnet.unirioja.es/servlet/articulo?codigo=6297489</b:URL>
    <b:RefOrder>556</b:RefOrder>
  </b:Source>
  <b:Source>
    <b:Tag>San16</b:Tag>
    <b:SourceType>JournalArticle</b:SourceType>
    <b:Guid>{24369C9D-C9E9-4BAC-A1CC-516F3AB39D6C}</b:Guid>
    <b:Author>
      <b:Author>
        <b:NameList>
          <b:Person>
            <b:Last>Sanchez Hernandez</b:Last>
            <b:First>Hugo</b:First>
          </b:Person>
        </b:NameList>
      </b:Author>
    </b:Author>
    <b:Title>La descentralización administrativa en Colombia: un reto inconcluso y un desafío para el posconflicto</b:Title>
    <b:JournalName>Dialnet</b:JournalName>
    <b:Year>2016</b:Year>
    <b:StandardNumber>1900-0448</b:StandardNumber>
    <b:RefOrder>557</b:RefOrder>
  </b:Source>
  <b:Source>
    <b:Tag>Con20</b:Tag>
    <b:SourceType>JournalArticle</b:SourceType>
    <b:Guid>{38A6234C-B2C1-4877-90D8-7732D75C929D}</b:Guid>
    <b:Title>Configuración del impuesto a la patente municipal con baseal ingreso de las actividades económicas. Caso: GAD Municipal de Pucará - Ecuador</b:Title>
    <b:JournalName>Revista Espacios</b:JournalName>
    <b:Year>2020</b:Year>
    <b:Author>
      <b:Author>
        <b:NameList>
          <b:Person>
            <b:Last>Reyes</b:Last>
            <b:First>Patricia</b:First>
          </b:Person>
          <b:Person>
            <b:Last>Narvaez</b:Last>
            <b:First>Cecilia</b:First>
          </b:Person>
          <b:Person>
            <b:Last>Erazo</b:Last>
            <b:First>Juan</b:First>
          </b:Person>
          <b:Person>
            <b:Last>Giler</b:Last>
            <b:First>Lesi</b:First>
          </b:Person>
        </b:NameList>
      </b:Author>
    </b:Author>
    <b:StandardNumber>0798-1015</b:StandardNumber>
    <b:URL>http://ww.revistaespacios.com/a20v41n21/a20v41n21p16.pdf</b:URL>
    <b:RefOrder>558</b:RefOrder>
  </b:Source>
  <b:Source>
    <b:Tag>Veg16</b:Tag>
    <b:SourceType>JournalArticle</b:SourceType>
    <b:Guid>{A051ECF2-B364-478F-8439-06016ACD6E4F}</b:Guid>
    <b:Author>
      <b:Author>
        <b:NameList>
          <b:Person>
            <b:Last>Vega</b:Last>
            <b:First>Yadira</b:First>
          </b:Person>
          <b:Person>
            <b:Last>Bravo</b:Last>
            <b:First>Diana</b:First>
          </b:Person>
        </b:NameList>
      </b:Author>
    </b:Author>
    <b:Title>Indice ambiental de los gobiernos autónomos descentralizados provinciales del Ecuador</b:Title>
    <b:JournalName>Revista economía</b:JournalName>
    <b:Year>2016</b:Year>
    <b:StandardNumber> 1315-2467</b:StandardNumber>
    <b:URL>http://iies.faces.ula.ve/Revista/Articulos/Revista_39/Pdf/Rev39Vega.pdf</b:URL>
    <b:RefOrder>559</b:RefOrder>
  </b:Source>
  <b:Source>
    <b:Tag>Vil21</b:Tag>
    <b:SourceType>JournalArticle</b:SourceType>
    <b:Guid>{8F1E68CD-BBEA-486B-883F-5C8FE8293D1D}</b:Guid>
    <b:Title>Participación ciudadana y revocatoria del mandato de las autoridades electas en los gobiernos autónomos descentralizados en El Oro</b:Title>
    <b:Year>2021</b:Year>
    <b:Author>
      <b:Author>
        <b:NameList>
          <b:Person>
            <b:Last>Vilela</b:Last>
            <b:First>Wilson</b:First>
          </b:Person>
          <b:Person>
            <b:Last>Robles</b:Last>
            <b:First>Kiara</b:First>
          </b:Person>
        </b:NameList>
      </b:Author>
    </b:Author>
    <b:JournalName>JM&amp;BS</b:JournalName>
    <b:StandardNumber>2452-5340</b:StandardNumber>
    <b:URL>https://revistas.uautonoma.cl/index.php/jmabs/article/view/615/1094</b:URL>
    <b:RefOrder>560</b:RefOrder>
  </b:Source>
  <b:Source>
    <b:Tag>Car15</b:Tag>
    <b:SourceType>JournalArticle</b:SourceType>
    <b:Guid>{4C0A7DEE-D5AA-467F-BCDB-38906A944851}</b:Guid>
    <b:Author>
      <b:Author>
        <b:NameList>
          <b:Person>
            <b:Last>Carrera Calderón</b:Last>
            <b:First>Frankz</b:First>
          </b:Person>
        </b:NameList>
      </b:Author>
    </b:Author>
    <b:Title>La Participación Ciudadana y Control Social en Ecuador.</b:Title>
    <b:JournalName>UNIANDES EPISTEME</b:JournalName>
    <b:Year>2015</b:Year>
    <b:URL>https://dialnet.unirioja.es/servlet/articulo?codigo=6756387</b:URL>
    <b:RefOrder>561</b:RefOrder>
  </b:Source>
  <b:Source>
    <b:Tag>Fin01</b:Tag>
    <b:SourceType>JournalArticle</b:SourceType>
    <b:Guid>{E9E33391-F12A-4D81-9D00-14BE982A86E0}</b:Guid>
    <b:Author>
      <b:Author>
        <b:NameList>
          <b:Person>
            <b:Last>Finot</b:Last>
            <b:First>Ivan</b:First>
          </b:Person>
        </b:NameList>
      </b:Author>
    </b:Author>
    <b:Title>Descentralización en América Latina: Teoría y práctica</b:Title>
    <b:JournalName>Naciones Unidad</b:JournalName>
    <b:Year>2001</b:Year>
    <b:City>Santiago de Chile</b:City>
    <b:StandardNumber> 92-1-321823-0</b:StandardNumber>
    <b:URL>https://repositorio.cepal.org/bitstream/handle/11362/7261/1/S01030319_es.pdf</b:URL>
    <b:RefOrder>562</b:RefOrder>
  </b:Source>
  <b:Source>
    <b:Tag>Moy17</b:Tag>
    <b:SourceType>Report</b:SourceType>
    <b:Guid>{548AAB22-3F9D-464F-9D7F-74304F117840}</b:Guid>
    <b:Title>Problemática sobre la autonomía financiera en la descentralización respecto de los Gobiernos Autónomos Descentralizados</b:Title>
    <b:Year>2017</b:Year>
    <b:City>Guayaquil</b:City>
    <b:URL>http://repositorio.ucsg.edu.ec/bitstream/3317/9620/1/T-UCSG-PRE-JUR-DER-179.pdf</b:URL>
    <b:Author>
      <b:Author>
        <b:NameList>
          <b:Person>
            <b:Last>Moya Villota</b:Last>
            <b:First>Mario</b:First>
          </b:Person>
        </b:NameList>
      </b:Author>
    </b:Author>
    <b:RefOrder>563</b:RefOrder>
  </b:Source>
  <b:Source>
    <b:Tag>Gra17</b:Tag>
    <b:SourceType>JournalArticle</b:SourceType>
    <b:Guid>{DC8FE33A-7D60-4208-9C5D-3A9A4DF154E7}</b:Guid>
    <b:Title>Sistema de control financiero y su evolución en Ecuador</b:Title>
    <b:Year>2017</b:Year>
    <b:City>Quito</b:City>
    <b:Author>
      <b:Author>
        <b:NameList>
          <b:Person>
            <b:Last>Granda</b:Last>
            <b:First>Victor</b:First>
          </b:Person>
        </b:NameList>
      </b:Author>
    </b:Author>
    <b:JournalName>FORO Revista de derecho</b:JournalName>
    <b:StandardNumber>1390-246</b:StandardNumber>
    <b:URL>https://revistas.uasb.edu.ec/index.php/foro/article/view/595/553</b:URL>
    <b:DOI>https://doi.org/10.32719/26312484.2017.28.2</b:DOI>
    <b:RefOrder>564</b:RefOrder>
  </b:Source>
  <b:Source>
    <b:Tag>Ben13</b:Tag>
    <b:SourceType>JournalArticle</b:SourceType>
    <b:Guid>{0CA294F5-EB0E-4587-8D3C-5D9C827CEB8E}</b:Guid>
    <b:Author>
      <b:Author>
        <b:NameList>
          <b:Person>
            <b:Last>Benalcázar Guerrón</b:Last>
            <b:First>Juan</b:First>
            <b:Middle>Carlos</b:Middle>
          </b:Person>
        </b:NameList>
      </b:Author>
    </b:Author>
    <b:Title>La autonomía financiera municipal en el Ecuador, con especial referencia a los ingresos tributarios y a la potestad tributaria de los municipios</b:Title>
    <b:JournalName>IUS</b:JournalName>
    <b:Year>2013</b:Year>
    <b:City>Puebla</b:City>
    <b:StandardNumber>1870-2147</b:StandardNumber>
    <b:URL>https://www.redalyc.org/articulo.oa?id=293229863003</b:URL>
    <b:RefOrder>565</b:RefOrder>
  </b:Source>
  <b:Source>
    <b:Tag>Oli17</b:Tag>
    <b:SourceType>Book</b:SourceType>
    <b:Guid>{DB589C8A-B090-422B-A58A-D8997533705D}</b:Guid>
    <b:Title>Debates y escenarios en las ciencias sociales</b:Title>
    <b:Year>2017</b:Year>
    <b:Author>
      <b:Author>
        <b:NameList>
          <b:Person>
            <b:Last>Olivares Alvarez</b:Last>
            <b:First>Edgar</b:First>
          </b:Person>
        </b:NameList>
      </b:Author>
    </b:Author>
    <b:City>Guayaquil</b:City>
    <b:Publisher>CIDE</b:Publisher>
    <b:CountryRegion>Ecuador</b:CountryRegion>
    <b:StandardNumber>978-9942-759-23-8</b:StandardNumber>
    <b:URL>http://192.99.145.142:8080/jspui/bitstream/123456789/24/1/Debates%20y%20Escenarios%20en%20las%20Ciencias%20Sociales.pdf#page=79</b:URL>
    <b:RefOrder>566</b:RefOrder>
  </b:Source>
  <b:Source>
    <b:Tag>Hid18</b:Tag>
    <b:SourceType>JournalArticle</b:SourceType>
    <b:Guid>{4E5970E8-96B4-4F62-895C-267D3CA73992}</b:Guid>
    <b:Author>
      <b:Author>
        <b:NameList>
          <b:Person>
            <b:Last>Hidalgo</b:Last>
            <b:First>Antonio</b:First>
          </b:Person>
          <b:Person>
            <b:Last>Cubillo</b:Last>
            <b:First>Ana</b:First>
          </b:Person>
        </b:NameList>
      </b:Author>
    </b:Author>
    <b:Title>ORTO Y OCASO DEL BUEN VIVIR EN LA PLANIFICACIÓN NACIONAL DEL DESARROLLO EN ECUADOR (2007-2021)</b:Title>
    <b:JournalName>Universidad de Salamanca</b:JournalName>
    <b:Year>2018</b:Year>
    <b:StandardNumber>2340-4396</b:StandardNumber>
    <b:URL>https://revistas.usal.es/index.php/1130-2887/article/view/alh2018783754/18750</b:URL>
    <b:DOI>https://doi.org/10.14201/alh2018783754</b:DOI>
    <b:RefOrder>567</b:RefOrder>
  </b:Source>
  <b:Source>
    <b:Tag>Art17</b:Tag>
    <b:SourceType>JournalArticle</b:SourceType>
    <b:Guid>{35DA4720-BB3A-40FF-9E0E-A0782EC99F0C}</b:Guid>
    <b:Author>
      <b:Author>
        <b:NameList>
          <b:Person>
            <b:Last>Arteaga</b:Last>
            <b:First>Erka</b:First>
          </b:Person>
        </b:NameList>
      </b:Author>
    </b:Author>
    <b:Title>Buen Vivir (Sumak Kawsay): definiciones, crítica e implicaciones en la planificación del desarrollo en Ecuador</b:Title>
    <b:JournalName>Scielo</b:JournalName>
    <b:Year>2017</b:Year>
    <b:City>Quito</b:City>
    <b:URL>https://www.scielosp.org/article/sdeb/2017.v41n114/907-919/</b:URL>
    <b:DOI>10.1590/0103-1104201711419</b:DOI>
    <b:RefOrder>568</b:RefOrder>
  </b:Source>
  <b:Source>
    <b:Tag>Oje00</b:Tag>
    <b:SourceType>Book</b:SourceType>
    <b:Guid>{968E7DF8-A056-4A9A-9D04-B4B6A4A44A29}</b:Guid>
    <b:Author>
      <b:Author>
        <b:NameList>
          <b:Person>
            <b:Last>Ojeda Segovia</b:Last>
            <b:First>Lautaro</b:First>
          </b:Person>
        </b:NameList>
      </b:Author>
    </b:Author>
    <b:Title>La descentralización en el Ecuador: avatares de un procedimiento inconcluso.</b:Title>
    <b:Year>2000</b:Year>
    <b:City>Quito</b:City>
    <b:Publisher>Abya-Yala</b:Publisher>
    <b:StandardNumber>9978-04-611-9</b:StandardNumber>
    <b:URL>https://digitalrepository.unm.edu/cgi/viewcontent.cgi?article=1030&amp;context=abya_yala</b:URL>
    <b:CountryRegion>Ecuador</b:CountryRegion>
    <b:RefOrder>569</b:RefOrder>
  </b:Source>
  <b:Source>
    <b:Tag>Caz21</b:Tag>
    <b:SourceType>Book</b:SourceType>
    <b:Guid>{0ADB0FC0-2FFF-4D7B-8ECE-5D244A1C2DCF}</b:Guid>
    <b:Author>
      <b:Author>
        <b:NameList>
          <b:Person>
            <b:Last>Cazorla Prieto</b:Last>
            <b:First>Luis</b:First>
            <b:Middle>Maria</b:Middle>
          </b:Person>
        </b:NameList>
      </b:Author>
    </b:Author>
    <b:Title>Derecho Financiero y Tributario: Parte General</b:Title>
    <b:Year>2021</b:Year>
    <b:City>Navarra</b:City>
    <b:Publisher>Aranzadi</b:Publisher>
    <b:StandardNumber>978-84-1390-229-6</b:StandardNumber>
    <b:URL>https://books.google.com.ec/books?id=oEBCEAAAQBAJ&amp;pg=PT54&amp;lpg=PT54&amp;dq=Dentro+de+la+actividad+econ%C3%B3mica+del+Estado+contempor%C3%A1neo+destaca+poderosamente+la+actividad+financiera.+Entendemos+por+tal+la+acci%C3%B3n+de+los+entes+p%C3%BAblicos+tendente+</b:URL>
    <b:RefOrder>570</b:RefOrder>
  </b:Source>
  <b:Source>
    <b:Tag>Tro19</b:Tag>
    <b:SourceType>JournalArticle</b:SourceType>
    <b:Guid>{CF0912BC-2577-441A-B4F8-EADB6B23CCC0}</b:Guid>
    <b:Author>
      <b:Author>
        <b:NameList>
          <b:Person>
            <b:Last>Troya</b:Last>
            <b:First>Ruth</b:First>
          </b:Person>
          <b:Person>
            <b:Last>Vásquez</b:Last>
            <b:First>Carlos</b:First>
          </b:Person>
          <b:Person>
            <b:Last>Fajardo</b:Last>
            <b:First>Ligia</b:First>
          </b:Person>
        </b:NameList>
      </b:Author>
    </b:Author>
    <b:Title>Empowerment: una herramienta estratégica como ventaja de competitividad en la administración de los gobiernos autónomos descentralizados (GADS)</b:Title>
    <b:JournalName>Recimundo</b:JournalName>
    <b:Year>2019</b:Year>
    <b:StandardNumber>2588-073X</b:StandardNumber>
    <b:URL>http://repositorio.unemi.edu.ec/bitstream/123456789/4599/1/Troya%20Andrade%20Ruth%20Patricia.pdf</b:URL>
    <b:DOI>https://doi.org/10.26820/recimundo/3.(1).enero.2019.1110-1135</b:DOI>
    <b:RefOrder>571</b:RefOrder>
  </b:Source>
  <b:Source>
    <b:Tag>Bue11</b:Tag>
    <b:SourceType>JournalArticle</b:SourceType>
    <b:Guid>{FA89B374-033D-4CE8-ADF0-988833F2FBA5}</b:Guid>
    <b:Author>
      <b:Author>
        <b:NameList>
          <b:Person>
            <b:Last>Buendía</b:Last>
            <b:First>Fernando</b:First>
          </b:Person>
        </b:NameList>
      </b:Author>
    </b:Author>
    <b:Title>Los Gobiernos Autónomos Descentralizados</b:Title>
    <b:Year>2011</b:Year>
    <b:City>Quito</b:City>
    <b:JournalName>La Tendencia: Revista de análisis político</b:JournalName>
    <b:StandardNumber>13902571</b:StandardNumber>
    <b:URL>https://repositorio.flacsoandes.edu.ec/xmlui/bitstream/handle/10469/4424/RFLACSO-LT11-18-Buendia.pdf?sequence=1&amp;isAllowed=y</b:URL>
    <b:RefOrder>572</b:RefOrder>
  </b:Source>
  <b:Source>
    <b:Tag>Rio17</b:Tag>
    <b:SourceType>JournalArticle</b:SourceType>
    <b:Guid>{676D5DEC-F731-46B2-A8EE-5950741DACBB}</b:Guid>
    <b:Author>
      <b:Author>
        <b:NameList>
          <b:Person>
            <b:Last>Rios Rivera</b:Last>
            <b:First>Ingrid</b:First>
          </b:Person>
          <b:Person>
            <b:Last>Pogo García</b:Last>
            <b:First>Luigi</b:First>
          </b:Person>
          <b:Person>
            <b:Last>Cueto Cedillo</b:Last>
            <b:First>Carlos</b:First>
          </b:Person>
        </b:NameList>
      </b:Author>
    </b:Author>
    <b:Title>ANÁLISIS DE LA TRANSPARENCIA SOBRE LAS POLÍTICAS LOCALES DE RESPONSABILIDAD SOCIAL EN ECUADOR: ESTUDIO DE LOS CASOS DE QUITO, GUAYAQUIL Y MACHALA</b:Title>
    <b:JournalName>Revista-Observatorio Iberoamericano</b:JournalName>
    <b:Year>2017</b:Year>
    <b:City>Guayaquil</b:City>
    <b:URL>http://www.observatorio-iberoamericano.org/ricg/n_29/carmen_ingrid_luigi_carlos.pdf</b:URL>
    <b:RefOrder>573</b:RefOrder>
  </b:Source>
  <b:Source>
    <b:Tag>Zul16</b:Tag>
    <b:SourceType>JournalArticle</b:SourceType>
    <b:Guid>{5C1E4FC0-E362-4E98-8DF1-0576C58A3FF4}</b:Guid>
    <b:Title>ANÁLISIS DEL ROL DE LOS GOBIERNOS AUTÓNOMOS DESCENTRALIZADOS (GAD) PARROQUIALES RURALES DEL CANTÓN GUANO, EN LOS PROCESOS DE DESARROLLO LOCAL</b:Title>
    <b:JournalName>Revista: Caribeña de Ciencias Sociales</b:JournalName>
    <b:Year>2016</b:Year>
    <b:Author>
      <b:Author>
        <b:NameList>
          <b:Person>
            <b:Last>Zula Cujano</b:Last>
            <b:First>Jorge</b:First>
          </b:Person>
          <b:Person>
            <b:Last>Castillo Guilcapi</b:Last>
            <b:First>Laura</b:First>
          </b:Person>
          <b:Person>
            <b:Last>Carrión Erazo</b:Last>
            <b:First>Luis</b:First>
          </b:Person>
        </b:NameList>
      </b:Author>
    </b:Author>
    <b:Month>Febrero</b:Month>
    <b:URL>https://www.eumed.net/rev/caribe/2016/02/canton.html</b:URL>
    <b:RefOrder>574</b:RefOrder>
  </b:Source>
  <b:Source>
    <b:Tag>Riv173</b:Tag>
    <b:SourceType>JournalArticle</b:SourceType>
    <b:Guid>{D785B0F4-A580-43E3-B388-3A20D267802A}</b:Guid>
    <b:Author>
      <b:Author>
        <b:NameList>
          <b:Person>
            <b:Last>Rivera</b:Last>
            <b:First>N.,</b:First>
            <b:Middle>Chica, J.</b:Middle>
          </b:Person>
          <b:Person>
            <b:Last>Zambrano</b:Last>
            <b:First>I.</b:First>
          </b:Person>
          <b:Person>
            <b:Last>García</b:Last>
            <b:First>C.</b:First>
          </b:Person>
        </b:NameList>
      </b:Author>
    </b:Author>
    <b:Title>Estudio del comportamiento de un motor ciclo otto de inyección electrónica respecto de la estequiometría de la mezcla y del adelanto al encendido para la ciudad de Cuenca</b:Title>
    <b:JournalName>Revista Politécnica, 40(1)</b:JournalName>
    <b:Year>2017</b:Year>
    <b:Pages>59-67</b:Pages>
    <b:URL>http://scielo.senescyt.gob.ec/pdf/rpolit/v40n1/2477-8990-rpolit-40-01-00059.pdf</b:URL>
    <b:RefOrder>575</b:RefOrder>
  </b:Source>
  <b:Source>
    <b:Tag>Gir15</b:Tag>
    <b:SourceType>Report</b:SourceType>
    <b:Guid>{3636FE30-AF1F-462D-807A-EBAF7E8650B7}</b:Guid>
    <b:Title>Desarrollo de un banco didáctico para pruebas de laboratorio a partir de un motor diésel cuatro tiempos y cuatro cilindros en línea</b:Title>
    <b:Year>2015</b:Year>
    <b:URL>https://repository.upb.edu.co/bitstream/handle/20.500.11912/2065/digital_24320.pdf?sequence=1&amp;isAllowed=y</b:URL>
    <b:Author>
      <b:Author>
        <b:NameList>
          <b:Person>
            <b:Last>Giraldo Aristizabal</b:Last>
            <b:First>J.</b:First>
          </b:Person>
          <b:Person>
            <b:Last>Flórez Landazábal</b:Last>
            <b:First>A.</b:First>
            <b:Middle>F.</b:Middle>
          </b:Person>
        </b:NameList>
      </b:Author>
    </b:Author>
    <b:Publisher>Trabajo de grado para optar al titulo de Ingeniero Mecánico de la Universidad Pontificia Bolivariana</b:Publisher>
    <b:City>Bucaramanga, Colombia</b:City>
    <b:RefOrder>576</b:RefOrder>
  </b:Source>
  <b:Source>
    <b:Tag>Pal101</b:Tag>
    <b:SourceType>Book</b:SourceType>
    <b:Guid>{F376C6C5-49E3-4950-8124-200F177AE133}</b:Guid>
    <b:Title>Metodología de la investigación cuantitativa</b:Title>
    <b:Year>2010</b:Year>
    <b:Publisher>FEDUPEL, Fondo Editorial de la Universidad Pedagógica Experimental Libertador</b:Publisher>
    <b:City>Caracas, Venezuela</b:City>
    <b:Author>
      <b:Author>
        <b:NameList>
          <b:Person>
            <b:Last>Palella-Stracuzzi</b:Last>
            <b:First>Santa</b:First>
          </b:Person>
          <b:Person>
            <b:Last>Martins-Pestana</b:Last>
            <b:First>Filiberto</b:First>
          </b:Person>
        </b:NameList>
      </b:Author>
    </b:Author>
    <b:RefOrder>577</b:RefOrder>
  </b:Source>
  <b:Source>
    <b:Tag>Con111</b:Tag>
    <b:SourceType>Report</b:SourceType>
    <b:Guid>{64483C34-2E68-44BC-8C83-8B378E7BC189}</b:Guid>
    <b:Author>
      <b:Author>
        <b:NameList>
          <b:Person>
            <b:Last>Conesa</b:Last>
            <b:First>J.</b:First>
            <b:Middle>A.</b:Middle>
          </b:Person>
        </b:NameList>
      </b:Author>
    </b:Author>
    <b:Title>Motor de combustión interna</b:Title>
    <b:Year>2011</b:Year>
    <b:Publisher>Experimentación en Ingeniería Química III</b:Publisher>
    <b:URL>http://rua.ua.es/dspace/bitstream/10045/17062/1/motorcombustioninterna.pdf</b:URL>
    <b:RefOrder>578</b:RefOrder>
  </b:Source>
  <b:Source>
    <b:Tag>Edisf</b:Tag>
    <b:SourceType>DocumentFromInternetSite</b:SourceType>
    <b:Guid>{8675C305-A143-4119-81AF-7CBB242A8C98}</b:Guid>
    <b:Title>El motor de gasolina: Funcionamiento, elementos, refrigeración, combustible y engrase</b:Title>
    <b:Year>s/f</b:Year>
    <b:Author>
      <b:Author>
        <b:Corporate>Editorialmeta</b:Corporate>
      </b:Author>
    </b:Author>
    <b:URL>http://www.editorialmeta.es/libros/extremadura/oficiales-conductores-extremadura-temas-1-14-paginas-de-prueba.pdf</b:URL>
    <b:YearAccessed>2020</b:YearAccessed>
    <b:MonthAccessed>Noviembre</b:MonthAccessed>
    <b:DayAccessed>08</b:DayAccessed>
    <b:RefOrder>579</b:RefOrder>
  </b:Source>
  <b:Source>
    <b:Tag>MarcadorDePosición26</b:Tag>
    <b:SourceType>DocumentFromInternetSite</b:SourceType>
    <b:Guid>{1576FD64-DDA9-48E4-A54E-925746234254}</b:Guid>
    <b:Author>
      <b:Author>
        <b:NameList>
          <b:Person>
            <b:Last>Rojas</b:Last>
            <b:First>Leonardo</b:First>
          </b:Person>
        </b:NameList>
      </b:Author>
    </b:Author>
    <b:Title>Mecánica Automotriz: Capacitación INACAP</b:Title>
    <b:Year>2012</b:Year>
    <b:Month>Junio</b:Month>
    <b:Day>28</b:Day>
    <b:URL>http://www.capacitacion.inacap.cl/material/900/MECÁNICA%20AUTOMOTRIZ.doc</b:URL>
    <b:RefOrder>580</b:RefOrder>
  </b:Source>
  <b:Source>
    <b:Tag>Con18</b:Tag>
    <b:SourceType>Report</b:SourceType>
    <b:Guid>{90332F44-A9C9-443D-A19C-87B04CF999DF}</b:Guid>
    <b:Author>
      <b:Author>
        <b:NameList>
          <b:Person>
            <b:Last>Conforme-Tumbaco</b:Last>
            <b:First>E.</b:First>
            <b:Middle>J.</b:Middle>
          </b:Person>
        </b:NameList>
      </b:Author>
    </b:Author>
    <b:Title>Diseño y construcción de un banco de pruebas para el motor 1.600 cc de 16 válvulas del Hyundai Accent año 2004</b:Title>
    <b:Year>2018</b:Year>
    <b:Publisher>Trabajo de grado para optar al título de Ingeniero Mecánico Automotriz de la Universidad Internacional del Ecuador</b:Publisher>
    <b:City>Guayaquil, Ecuador</b:City>
    <b:URL>https://repositorio.uide.edu.ec/bitstream/37000/2762/1/T-UIDE-204.pdf</b:URL>
    <b:RefOrder>581</b:RefOrder>
  </b:Source>
  <b:Source>
    <b:Tag>Vil071</b:Tag>
    <b:SourceType>Report</b:SourceType>
    <b:Guid>{E3B25955-311A-4C6E-9B49-4754BC94F1C1}</b:Guid>
    <b:Title>Motores de combustión interna</b:Title>
    <b:Year>2007</b:Year>
    <b:City>Barcelona, España</b:City>
    <b:Publisher>IES Baix Montseny</b:Publisher>
    <b:Author>
      <b:Author>
        <b:NameList>
          <b:Person>
            <b:Last>Villegas</b:Last>
            <b:First>A.</b:First>
            <b:Middle>M.</b:Middle>
          </b:Person>
          <b:Person>
            <b:Last>Montseny</b:Last>
            <b:First>I.</b:First>
            <b:Middle>B.</b:Middle>
          </b:Person>
          <b:Person>
            <b:Last>Celoni</b:Last>
            <b:First>S.</b:First>
          </b:Person>
        </b:NameList>
      </b:Author>
    </b:Author>
    <b:URL>https://www.academia.edu/download/56005885/Motores_de_combustion_interna.pdf</b:URL>
    <b:RefOrder>582</b:RefOrder>
  </b:Source>
  <b:Source>
    <b:Tag>Ort192</b:Tag>
    <b:SourceType>Report</b:SourceType>
    <b:Guid>{5EFB024B-2740-4828-BA68-37F62664FA1A}</b:Guid>
    <b:Author>
      <b:Author>
        <b:NameList>
          <b:Person>
            <b:Last>Ortiz Sánchez</b:Last>
            <b:First>D.</b:First>
            <b:Middle>F.</b:Middle>
          </b:Person>
          <b:Person>
            <b:Last>Pardo Castillo</b:Last>
            <b:First>M.</b:First>
            <b:Middle>C.</b:Middle>
          </b:Person>
        </b:NameList>
      </b:Author>
    </b:Author>
    <b:Title>Evaluación del rendimiento de un motor de cuatro tiempos, usando hidrógeno como combustible</b:Title>
    <b:Year>2019</b:Year>
    <b:Publisher>Trabajo de grado para optar al título de Ingeniero en Medio Ambiente de la Escuela Superior Politécnica Agropecuaría de Manabí</b:Publisher>
    <b:City>Calceta, Ecuador</b:City>
    <b:URL>http://repositorio.espam.edu.ec/bitstream/42000/1005/1/TTMA51.pdf</b:URL>
    <b:RefOrder>583</b:RefOrder>
  </b:Source>
  <b:Source>
    <b:Tag>Mej08</b:Tag>
    <b:SourceType>Report</b:SourceType>
    <b:Guid>{66F3F213-35E1-48D2-9B52-2213CC21373D}</b:Guid>
    <b:Author>
      <b:Author>
        <b:NameList>
          <b:Person>
            <b:Last>Mejía-Lotero</b:Last>
            <b:First>N.</b:First>
          </b:Person>
          <b:Person>
            <b:Last>García-Ceballos</b:Last>
            <b:First>S.</b:First>
          </b:Person>
        </b:NameList>
      </b:Author>
    </b:Author>
    <b:Title>Diseño y construcción de un banco de pruebas para un motor de combustión interna de Renault Twingo</b:Title>
    <b:Year>2008</b:Year>
    <b:City>Medellín, Colombia</b:City>
    <b:Publisher>Trabajo de grado para optar al título de Ingeniero Mecánico de la Universidad EAFIT</b:Publisher>
    <b:URL>https://repository.eafit.edu.co/bitstream/handle/10784/4359/Nicolas_Mejia_Sebastian_Garcia_2008.pdf?sequence=7&amp;isAllowed=y</b:URL>
    <b:RefOrder>584</b:RefOrder>
  </b:Source>
  <b:Source>
    <b:Tag>MarcadorDePosición27</b:Tag>
    <b:SourceType>Report</b:SourceType>
    <b:Guid>{6183766F-0401-42D2-8463-DDA435F4FCD0}</b:Guid>
    <b:Author>
      <b:Author>
        <b:NameList>
          <b:Person>
            <b:Last>Castillo</b:Last>
            <b:First>L.</b:First>
            <b:Middle>A.</b:Middle>
          </b:Person>
          <b:Person>
            <b:Last>Prieto</b:Last>
            <b:First>J.</b:First>
            <b:Middle>L.</b:Middle>
          </b:Person>
        </b:NameList>
      </b:Author>
    </b:Author>
    <b:Title>La simulación de un motor de cuatro tiempos. una oportunidad para el abordaje de la matemática</b:Title>
    <b:Year>2016</b:Year>
    <b:Publisher>Momorias Arbitradas del II Jornadas de Investigación Estudiantil de la Facultad de Humanidades y Educación de la Universidad del Zulia</b:Publisher>
    <b:URL>https://www.researchgate.net/profile/Luis_Castillo_B/publication/319990164_LA_SIMULACION_DE_UN_MOTOR_DE_CUATRO_TIEMPOS_UNA_OPORTUNIDAD_PARA_EL_ABORDAJE_DE_LA_MATEMATICA/links/59c54dd4a6fdccc71914dab3/</b:URL>
    <b:RefOrder>585</b:RefOrder>
  </b:Source>
  <b:Source>
    <b:Tag>And17</b:Tag>
    <b:SourceType>Report</b:SourceType>
    <b:Guid>{8A8BC20A-42B8-4D48-A266-DDA95839225D}</b:Guid>
    <b:Author>
      <b:Author>
        <b:NameList>
          <b:Person>
            <b:Last>Andrango-Bonilla</b:Last>
            <b:First>D.</b:First>
            <b:Middle>N.</b:Middle>
          </b:Person>
        </b:NameList>
      </b:Author>
    </b:Author>
    <b:Title>Construcción de un banco de pruebas para el motor J3 CRDI de Hyundai Terracan GL EX</b:Title>
    <b:Year>2017</b:Year>
    <b:Publisher>Trabajo de grado para optar al tìtulo de Ingeniero en Mecànica Automotriz de la Universidad Internacional de Ecuador</b:Publisher>
    <b:City>Guayaquil, Ecuador</b:City>
    <b:URL>https://repositorio.uide.edu.ec/bitstream/37000/1927/1/T-UIDE-135.pdf</b:URL>
    <b:RefOrder>586</b:RefOrder>
  </b:Source>
  <b:Source>
    <b:Tag>Ata11</b:Tag>
    <b:SourceType>Report</b:SourceType>
    <b:Guid>{A07A8960-B54A-4A46-AE68-47BAF37A5853}</b:Guid>
    <b:Author>
      <b:Author>
        <b:NameList>
          <b:Person>
            <b:Last>Atancuri-Pallashco</b:Last>
            <b:First>J.</b:First>
            <b:Middle>L.</b:Middle>
          </b:Person>
          <b:Person>
            <b:Last>Buncay-Segarra</b:Last>
            <b:First>L.</b:First>
            <b:Middle>A.</b:Middle>
          </b:Person>
          <b:Person>
            <b:Last>Matute-Chávez</b:Last>
            <b:First>J.</b:First>
            <b:Middle>A.</b:Middle>
          </b:Person>
        </b:NameList>
      </b:Author>
    </b:Author>
    <b:Title>Elaboración de un banco didáctico con simulación de fallas y visualización digital de datos de funcionamiento del sistema de inyección MPFI de un motor Hyundai Accent para la capacitación</b:Title>
    <b:Year>2011</b:Year>
    <b:Publisher>Trabajo de grado para optar al tìtulo de Ingeniero Mecánico Automotriz de la Universidad Politécnica Salesiana.</b:Publisher>
    <b:City>Cuenca, Ecuador</b:City>
    <b:URL>https://dspace.ups.edu.ec/bitstream/123456789/1111/21/UPS-CT002572.pdf</b:URL>
    <b:RefOrder>587</b:RefOrder>
  </b:Source>
  <b:Source>
    <b:Tag>MarcadorDePosición28</b:Tag>
    <b:SourceType>Book</b:SourceType>
    <b:Guid>{B4DF0560-527D-4B44-B103-E43473FEF152}</b:Guid>
    <b:Title>Metodología de la Investigación</b:Title>
    <b:Year>2014</b:Year>
    <b:City>México D.F.</b:City>
    <b:Author>
      <b:Author>
        <b:NameList>
          <b:Person>
            <b:Last>Hernandez</b:Last>
            <b:First>Roberto</b:First>
          </b:Person>
        </b:NameList>
      </b:Author>
    </b:Author>
    <b:Publisher>McGraw-Hill / Interamericana editores</b:Publisher>
    <b:Edition>Sexta edición</b:Edition>
    <b:RefOrder>588</b:RefOrder>
  </b:Source>
  <b:Source>
    <b:Tag>Exp17</b:Tag>
    <b:SourceType>Book</b:SourceType>
    <b:Guid>{68F6DDFE-6999-4534-940D-C61F399918AF}</b:Guid>
    <b:Author>
      <b:Author>
        <b:NameList>
          <b:Person>
            <b:Last>Contreras</b:Last>
            <b:First>Ruth</b:First>
          </b:Person>
          <b:Person>
            <b:Last>Eguia</b:Last>
            <b:First>Jose</b:First>
          </b:Person>
        </b:NameList>
      </b:Author>
    </b:Author>
    <b:Title>Experiencias de gamificación en aulas</b:Title>
    <b:Year>2017</b:Year>
    <b:City>Barcelona</b:City>
    <b:Publisher>InCom-UAB Publicacions</b:Publisher>
    <b:RefOrder>589</b:RefOrder>
  </b:Source>
  <b:Source>
    <b:Tag>Mac17</b:Tag>
    <b:SourceType>Report</b:SourceType>
    <b:Guid>{1BEC5C4A-0A3C-471B-A63D-F3544CAC43E8}</b:Guid>
    <b:Author>
      <b:Author>
        <b:NameList>
          <b:Person>
            <b:Last>Macías</b:Last>
            <b:First>A.</b:First>
          </b:Person>
        </b:NameList>
      </b:Author>
    </b:Author>
    <b:Title>La Gamificación como estrategia para el desarrollo de la competencia matemática: plantear y resolver problemas. </b:Title>
    <b:Year>2017</b:Year>
    <b:Publisher>Universidad Casa Grande, Tesis de PostGrado</b:Publisher>
    <b:City>Guayaquil</b:City>
    <b:RefOrder>590</b:RefOrder>
  </b:Source>
  <b:Source>
    <b:Tag>Ori15</b:Tag>
    <b:SourceType>Report</b:SourceType>
    <b:Guid>{D4397C48-5053-4625-9939-5BEBA4052237}</b:Guid>
    <b:Title>Fundamentos de la gamificación</b:Title>
    <b:Year>2015</b:Year>
    <b:City>Madrid</b:City>
    <b:Publisher>Gabinete de Tele-Educación de la Universidad Politécnica de Madrid</b:Publisher>
    <b:Author>
      <b:Author>
        <b:NameList>
          <b:Person>
            <b:Last>Borrás</b:Last>
            <b:First>Oriol</b:First>
          </b:Person>
        </b:NameList>
      </b:Author>
    </b:Author>
    <b:RefOrder>591</b:RefOrder>
  </b:Source>
  <b:Source>
    <b:Tag>Ley18</b:Tag>
    <b:SourceType>ConferenceProceedings</b:SourceType>
    <b:Guid>{74D9C494-BEA9-4D9D-A9C9-A16A2FC17175}</b:Guid>
    <b:Title>Gamificar: El Uso de los elementos del juego en la enseñanza de español </b:Title>
    <b:Year>2018</b:Year>
    <b:Publisher>Mahidol  University International College</b:Publisher>
    <b:City>Madrid</b:City>
    <b:Author>
      <b:Author>
        <b:NameList>
          <b:Person>
            <b:Last>Biel</b:Last>
            <b:First>Leyre</b:First>
          </b:Person>
          <b:Person>
            <b:Last>García</b:Last>
            <b:First>Antonia</b:First>
          </b:Person>
        </b:NameList>
      </b:Author>
    </b:Author>
    <b:ConferenceName>Congreso 50_09 de Tecnologías Educativas</b:ConferenceName>
    <b:RefOrder>592</b:RefOrder>
  </b:Source>
  <b:Source>
    <b:Tag>Rya00</b:Tag>
    <b:SourceType>JournalArticle</b:SourceType>
    <b:Guid>{0C29CCA5-0B45-4C7E-8258-A70CADF23A4E}</b:Guid>
    <b:Title>Motivaciones intrínsecas y extrínsecas: definiciones clásicas y nuevas direcciones. Psicología educativa contemporánea.</b:Title>
    <b:Year>2000</b:Year>
    <b:Author>
      <b:Author>
        <b:NameList>
          <b:Person>
            <b:Last>Ryan</b:Last>
            <b:First>R.</b:First>
          </b:Person>
          <b:Person>
            <b:Last>Deci</b:Last>
            <b:First>E.</b:First>
          </b:Person>
        </b:NameList>
      </b:Author>
    </b:Author>
    <b:JournalName>American Psychologist</b:JournalName>
    <b:RefOrder>593</b:RefOrder>
  </b:Source>
  <b:Source>
    <b:Tag>MarcadorDePosición29</b:Tag>
    <b:SourceType>JournalArticle</b:SourceType>
    <b:Guid>{369427D5-2C6C-4458-BDF2-1003A1574EAF}</b:Guid>
    <b:Author>
      <b:Author>
        <b:NameList>
          <b:Person>
            <b:Last>Alfaro</b:Last>
            <b:First>Alicia</b:First>
          </b:Person>
          <b:Person>
            <b:Last>Chavarria</b:Last>
            <b:First>Gilberto</b:First>
          </b:Person>
        </b:NameList>
      </b:Author>
    </b:Author>
    <b:Title>La motivación :Una actividad inicial o un proceso permanente</b:Title>
    <b:JournalName>Revista Pensamiento Actual</b:JournalName>
    <b:Year>2003</b:Year>
    <b:RefOrder>594</b:RefOrder>
  </b:Source>
  <b:Source>
    <b:Tag>Mar17</b:Tag>
    <b:SourceType>JournalArticle</b:SourceType>
    <b:Guid>{012980AE-9843-4217-B6BE-E33141CC8A73}</b:Guid>
    <b:Author>
      <b:Author>
        <b:NameList>
          <b:Person>
            <b:Last>Sellan</b:Last>
            <b:First>Mariana</b:First>
          </b:Person>
        </b:NameList>
      </b:Author>
    </b:Author>
    <b:Title>Importancia de la motivación en el aprendizaje</b:Title>
    <b:JournalName>Revista Electrónica Sinergias Educativas Vol. 2, Num. 1</b:JournalName>
    <b:Year>2017</b:Year>
    <b:RefOrder>595</b:RefOrder>
  </b:Source>
  <b:Source>
    <b:Tag>Dec91</b:Tag>
    <b:SourceType>JournalArticle</b:SourceType>
    <b:Guid>{C2D75262-3B43-4FBE-BAD3-9CAE4501BACF}</b:Guid>
    <b:Title>Motivación y educación: la perspectiva de la autodeterminación.</b:Title>
    <b:Year>1991</b:Year>
    <b:Author>
      <b:Author>
        <b:Corporate>Deci et al.</b:Corporate>
      </b:Author>
    </b:Author>
    <b:JournalName>Psicólogo educativo</b:JournalName>
    <b:Pages>325–346.</b:Pages>
    <b:DOI>doi.org/10.1080/00461520.1991.9653137</b:DOI>
    <b:RefOrder>596</b:RefOrder>
  </b:Source>
  <b:Source>
    <b:Tag>MarcadorDePosición30</b:Tag>
    <b:SourceType>JournalArticle</b:SourceType>
    <b:Guid>{42526CE3-CA41-46A9-98C6-50F05ED68E58}</b:Guid>
    <b:Title>La importancia de atender a la motivación en el aula</b:Title>
    <b:Year>2014</b:Year>
    <b:Author>
      <b:Author>
        <b:NameList>
          <b:Person>
            <b:Last>Bonetto</b:Last>
            <b:First>Vanesa</b:First>
          </b:Person>
          <b:Person>
            <b:Last>Calderon</b:Last>
            <b:First>Luciana</b:First>
          </b:Person>
        </b:NameList>
      </b:Author>
    </b:Author>
    <b:JournalName>PsicoPediaHoy, ISSN: 2322-8652</b:JournalName>
    <b:RefOrder>597</b:RefOrder>
  </b:Source>
  <b:Source>
    <b:Tag>Hol20</b:Tag>
    <b:SourceType>JournalArticle</b:SourceType>
    <b:Guid>{39549AFB-A84B-4F14-9CED-E5190E6BF3CB}</b:Guid>
    <b:Author>
      <b:Author>
        <b:Corporate>Holguín et al.</b:Corporate>
      </b:Author>
    </b:Author>
    <b:Title>Gamificación en la enseñanza de las matemáticas: una revisión sistemática. </b:Title>
    <b:JournalName>ELOS: Revista de Estudios Interdisciplinarios en Ciencias Sociales</b:JournalName>
    <b:Year>2020</b:Year>
    <b:Pages>62-75.</b:Pages>
    <b:RefOrder>598</b:RefOrder>
  </b:Source>
  <b:Source>
    <b:Tag>Car19</b:Tag>
    <b:SourceType>Book</b:SourceType>
    <b:Guid>{1E6C5E15-253F-408D-8A40-3E1B3C49A3F8}</b:Guid>
    <b:Title>Gamificación en la Educación: Hacia una pedagogía para involucrar y motivar a los estudiantes</b:Title>
    <b:Year>2019</b:Year>
    <b:Author>
      <b:Author>
        <b:NameList>
          <b:Person>
            <b:Last>Sánchez</b:Last>
            <b:First>Carlos</b:First>
          </b:Person>
        </b:NameList>
      </b:Author>
    </b:Author>
    <b:City>Cuzco</b:City>
    <b:Publisher>Editorial Académica Española</b:Publisher>
    <b:RefOrder>599</b:RefOrder>
  </b:Source>
  <b:Source>
    <b:Tag>Flo21</b:Tag>
    <b:SourceType>Report</b:SourceType>
    <b:Guid>{B401366E-BCE0-4272-98F9-C4D6A1884484}</b:Guid>
    <b:Title>Las nuevas tecnologías como estrategias innovadoras de enseñanza - aprendizaje en la era digital</b:Title>
    <b:Year>2021</b:Year>
    <b:City>España</b:City>
    <b:Publisher>Revista electrónica Interuniversitaria de formación del profesorado</b:Publisher>
    <b:Author>
      <b:Author>
        <b:NameList>
          <b:Person>
            <b:Last>Flores</b:Last>
            <b:First>José</b:First>
          </b:Person>
          <b:Person>
            <b:Last>Ortega</b:Last>
            <b:First>Carmen</b:First>
          </b:Person>
          <b:Person>
            <b:Last>Sánchez</b:Last>
            <b:First>Carmen</b:First>
          </b:Person>
        </b:NameList>
      </b:Author>
    </b:Author>
    <b:URL>https://revistas.um.es/reifop/article/view/406051/299931</b:URL>
    <b:RefOrder>600</b:RefOrder>
  </b:Source>
  <b:Source>
    <b:Tag>Lov17</b:Tag>
    <b:SourceType>Book</b:SourceType>
    <b:Guid>{69F58741-0789-451E-9270-E05F344F8A19}</b:Guid>
    <b:Title>Nuevas identidades de aprendizaje en la era digital</b:Title>
    <b:Year>2017</b:Year>
    <b:Publisher>NARCEA</b:Publisher>
    <b:City>España</b:City>
    <b:Author>
      <b:Author>
        <b:NameList>
          <b:Person>
            <b:Last>Loveless</b:Last>
            <b:First>Avril</b:First>
          </b:Person>
          <b:Person>
            <b:Last>Williamson</b:Last>
            <b:First>Ben</b:First>
          </b:Person>
        </b:NameList>
      </b:Author>
    </b:Author>
    <b:URL>https://books.google.es/books?hl=es&amp;lr=&amp;id=VlslDwAAQBAJ&amp;oi=fnd&amp;pg=PA13&amp;dq=el+aprendizaje+en+la+era+digital&amp;ots=pMY9r1jHbS&amp;sig=t74uEbWh30onPvfDJzxWnYdu41Y#v=onepage&amp;q&amp;f=true</b:URL>
    <b:RefOrder>601</b:RefOrder>
  </b:Source>
  <b:Source>
    <b:Tag>Gon18</b:Tag>
    <b:SourceType>Report</b:SourceType>
    <b:Guid>{4C7F8011-11C3-496E-A0E0-7174DFFE90ED}</b:Guid>
    <b:Title>ECOLOGÍAS DE APRENDIZAJE EN LA ERA DIGITAL: DESAFÍOS PARA LA EDUCACIÓN SUPERIOR</b:Title>
    <b:Year>2018</b:Year>
    <b:Publisher>Revista de la Universidad de Granada</b:Publisher>
    <b:City>España</b:City>
    <b:Author>
      <b:Author>
        <b:NameList>
          <b:Person>
            <b:Last>Gonzáles</b:Last>
            <b:First>Mercedes</b:First>
          </b:Person>
          <b:Person>
            <b:Last>Sangrá</b:Last>
            <b:First>Albert</b:First>
          </b:Person>
          <b:Person>
            <b:Last>Alba</b:Last>
            <b:First>Seijo</b:First>
          </b:Person>
          <b:Person>
            <b:Last>Estévez</b:Last>
            <b:First>Iris</b:First>
          </b:Person>
        </b:NameList>
      </b:Author>
    </b:Author>
    <b:URL>https://revistaseug.ugr.es/index.php/publicaciones/article/view/7329</b:URL>
    <b:RefOrder>602</b:RefOrder>
  </b:Source>
  <b:Source>
    <b:Tag>Bel17</b:Tag>
    <b:SourceType>Report</b:SourceType>
    <b:Guid>{839D71E3-A53D-4622-B14D-F29E928CA7CB}</b:Guid>
    <b:Author>
      <b:Author>
        <b:NameList>
          <b:Person>
            <b:Last>Beltrán</b:Last>
            <b:First>Marco</b:First>
          </b:Person>
        </b:NameList>
      </b:Author>
    </b:Author>
    <b:Title>El aprendizaje del idioma inglés como lengua extranjera</b:Title>
    <b:Year>2017</b:Year>
    <b:Publisher>Revista REDIPE</b:Publisher>
    <b:City>Ecuador</b:City>
    <b:URL>https://revista.redipe.org/index.php/1/article/view/227#:~:text=El%20Ingl%C3%A9s%20ha%20sido%20considerado,lo%20integran%20en%20el%20curr%C3%ADculo.&amp;text=El%20proceso%20de%20aprendizaje%20del,diferentes%20actividades%20de%20tipo%20controladas.</b:URL>
    <b:RefOrder>603</b:RefOrder>
  </b:Source>
  <b:Source>
    <b:Tag>Ric16</b:Tag>
    <b:SourceType>Report</b:SourceType>
    <b:Guid>{7063EE6A-FEF9-4E5D-BA48-BD3D3B9A3A52}</b:Guid>
    <b:Title>La enseñanza del inglés en la educación básica de personas jóvenes y adultas</b:Title>
    <b:Year>2016</b:Year>
    <b:Publisher>Revista mexicana de investigación educativa</b:Publisher>
    <b:City>México</b:City>
    <b:Author>
      <b:Author>
        <b:NameList>
          <b:Person>
            <b:Last>Ricoy</b:Last>
            <b:First>María</b:First>
          </b:Person>
          <b:Person>
            <b:Last>Álvarez</b:Last>
            <b:First>Sabela</b:First>
          </b:Person>
        </b:NameList>
      </b:Author>
    </b:Author>
    <b:URL>http://www.scielo.org.mx/scielo.php?script=sci_arttext&amp;pid=S1405-66662016000200385</b:URL>
    <b:RefOrder>604</b:RefOrder>
  </b:Source>
  <b:Source>
    <b:Tag>Van19</b:Tag>
    <b:SourceType>Report</b:SourceType>
    <b:Guid>{E4CD3A7E-B77C-423A-95E7-DBF711239887}</b:Guid>
    <b:Author>
      <b:Author>
        <b:NameList>
          <b:Person>
            <b:Last>Peña</b:Last>
            <b:First>Vanessa</b:First>
          </b:Person>
        </b:NameList>
      </b:Author>
    </b:Author>
    <b:Title>Enseñanza del inglés como lengua extranjera y desarrollo de competencias lingüísticas</b:Title>
    <b:Year>2019</b:Year>
    <b:Publisher>Universidad Andina Simón Bolívar</b:Publisher>
    <b:City>Ecuador</b:City>
    <b:URL>https://repositorio.uasb.edu.ec/bitstream/10644/6603/1/T2833-MIE-Pe%C3%B1a-Ense%C3%B1anza.pdf</b:URL>
    <b:RefOrder>605</b:RefOrder>
  </b:Source>
  <b:Source>
    <b:Tag>Rey12</b:Tag>
    <b:SourceType>Report</b:SourceType>
    <b:Guid>{7817F77F-F010-4DDB-A8B6-E1D8A6672B58}</b:Guid>
    <b:Title>LAS COMPETENCIAS COMUNICATIVAS Y LINGÜÍSTICAS, CLAVE PARA LA CALIDAD EDUCATIVA</b:Title>
    <b:Year>2012</b:Year>
    <b:Publisher>Revista REICE</b:Publisher>
    <b:City>España</b:City>
    <b:Author>
      <b:Author>
        <b:NameList>
          <b:Person>
            <b:Last>Reyzábal</b:Last>
            <b:First>Victoria</b:First>
          </b:Person>
        </b:NameList>
      </b:Author>
    </b:Author>
    <b:URL>https://www.redalyc.org/pdf/551/55124841006.pdf</b:URL>
    <b:RefOrder>606</b:RefOrder>
  </b:Source>
  <b:Source>
    <b:Tag>Ros13</b:Tag>
    <b:SourceType>Report</b:SourceType>
    <b:Guid>{66DCFBAA-7596-40BE-96BE-759D16529433}</b:Guid>
    <b:Title>Desarrollo de la competencia comunicativa en el idioma inglés en una plataforma interactiva</b:Title>
    <b:Year>2013</b:Year>
    <b:Publisher>Revista Electrónica Sinética</b:Publisher>
    <b:City>México</b:City>
    <b:Author>
      <b:Author>
        <b:NameList>
          <b:Person>
            <b:Last>Rosales</b:Last>
            <b:First>Blanca</b:First>
          </b:Person>
          <b:Person>
            <b:Last>Zarate</b:Last>
            <b:First>José</b:First>
          </b:Person>
          <b:Person>
            <b:Last>Lozano</b:Last>
            <b:First>Armando</b:First>
          </b:Person>
        </b:NameList>
      </b:Author>
    </b:Author>
    <b:URL>https://www.redalyc.org/pdf/998/99828325010.pdf</b:URL>
    <b:RefOrder>607</b:RefOrder>
  </b:Source>
  <b:Source>
    <b:Tag>Mau21</b:Tag>
    <b:SourceType>Report</b:SourceType>
    <b:Guid>{FBF2D966-5C40-4DFC-90B4-6ECD944FBF93}</b:Guid>
    <b:Author>
      <b:Author>
        <b:NameList>
          <b:Person>
            <b:Last>Chiunti</b:Last>
            <b:First>Mauricio</b:First>
          </b:Person>
        </b:NameList>
      </b:Author>
    </b:Author>
    <b:Title>Gamificación para el desarrollo de competencia comunicativa en una segunda lengua (inglés) en estudiantes de medicina de la Universidad Autónoma de Tlaxcala</b:Title>
    <b:Year>2021</b:Year>
    <b:Publisher>BENEMERITA UNIVERSIDADAUTONOMA DE PUEBLA</b:Publisher>
    <b:City>México</b:City>
    <b:URL>https://repositorioinstitucional.buap.mx/handle/20.500.12371/11985</b:URL>
    <b:RefOrder>608</b:RefOrder>
  </b:Source>
  <b:Source>
    <b:Tag>Bus10</b:Tag>
    <b:SourceType>Report</b:SourceType>
    <b:Guid>{0D8B7092-AA19-46E1-969B-ECD3E7694FD0}</b:Guid>
    <b:Title>Los entornos virtuales como espacios de enseñanza y aprendizaje. Una perspectiva psicoeducativa para su caracterización y análisis</b:Title>
    <b:Year>2010</b:Year>
    <b:Publisher>Revista mexicana de investigación educativa</b:Publisher>
    <b:City>México</b:City>
    <b:Author>
      <b:Author>
        <b:NameList>
          <b:Person>
            <b:Last>Bustos</b:Last>
            <b:First>Alfonso</b:First>
          </b:Person>
          <b:Person>
            <b:Last>Coll</b:Last>
            <b:First>César</b:First>
          </b:Person>
        </b:NameList>
      </b:Author>
    </b:Author>
    <b:URL>http://www.scielo.org.mx/scielo.php?script=sci_arttext&amp;pid=S1405-66662010000100009</b:URL>
    <b:RefOrder>609</b:RefOrder>
  </b:Source>
  <b:Source>
    <b:Tag>Nav15</b:Tag>
    <b:SourceType>Report</b:SourceType>
    <b:Guid>{0D74E3DC-E476-463C-9299-D99AEE151010}</b:Guid>
    <b:Title>Los Procesos de Enseñanza y Aprendizaje del Idioma Inglés a través de los Entornos Virtuales de Aprendizaje</b:Title>
    <b:Year>2015</b:Year>
    <b:Publisher>Revista Ciencia UNEMI</b:Publisher>
    <b:City>Ecuador</b:City>
    <b:Author>
      <b:Author>
        <b:NameList>
          <b:Person>
            <b:Last>Navas</b:Last>
            <b:First>Yonaiker</b:First>
          </b:Person>
          <b:Person>
            <b:Last>Real</b:Last>
            <b:First>Iliana</b:First>
          </b:Person>
          <b:Person>
            <b:Last>Pacheco</b:Last>
            <b:First>Silvia</b:First>
          </b:Person>
          <b:Person>
            <b:Last>Mayorga</b:Last>
            <b:First>Amalin</b:First>
          </b:Person>
        </b:NameList>
      </b:Author>
    </b:Author>
    <b:URL>http://repositorio.unemi.edu.ec/bitstream/123456789/3067/1/LOS%20PROCESOS%20DE%20ENSE%c3%91ANZA%20Y%20APRENDIZAJE%20DEL%20IDIOMA%20INGL%c3%89S%20A%20TRAV%c3%89S%20DE%20LOS%20ENTORNOS%20VIRTUALES%20DE%20APRENDIZAJE.pdf</b:URL>
    <b:RefOrder>610</b:RefOrder>
  </b:Source>
  <b:Source>
    <b:Tag>Mor20</b:Tag>
    <b:SourceType>Report</b:SourceType>
    <b:Guid>{56BC6555-7986-44F1-BBAB-4AD7196C8A49}</b:Guid>
    <b:Title>REALIDAD AUMENTADA Y REALIDAD VIRTUAL PARA LA CREACIÓN DE ESCENARIOS DE APRENDIZAJE DE LA LENGUA INGLESA DESDE UN ENFOQUE COMUNICATIVO</b:Title>
    <b:Year>2020</b:Year>
    <b:Publisher>Universidad Autónoma de Barcelona</b:Publisher>
    <b:City>España</b:City>
    <b:Author>
      <b:Author>
        <b:NameList>
          <b:Person>
            <b:Last>Moreno</b:Last>
            <b:First>Noelia</b:First>
          </b:Person>
          <b:Person>
            <b:Last>Galván</b:Last>
            <b:First>María</b:First>
          </b:Person>
        </b:NameList>
      </b:Author>
    </b:Author>
    <b:URL>https://ddd.uab.cat/record/226872</b:URL>
    <b:RefOrder>611</b:RefOrder>
  </b:Source>
  <b:Source>
    <b:Tag>Gon21</b:Tag>
    <b:SourceType>Report</b:SourceType>
    <b:Guid>{27005C66-FCF6-48C9-B043-C67C7D8E3757}</b:Guid>
    <b:Title>EL PROFESOR DE INGLÉS EN LOS TIEMPOS DE USO DE LA TECNOLOGÍA</b:Title>
    <b:Year>2021</b:Year>
    <b:Publisher>Revista REDIPE</b:Publisher>
    <b:City>Espeña</b:City>
    <b:Author>
      <b:Author>
        <b:NameList>
          <b:Person>
            <b:Last>González</b:Last>
            <b:First>Heriberto</b:First>
          </b:Person>
          <b:Person>
            <b:Last>Ramírez</b:Last>
            <b:First>Astrid</b:First>
          </b:Person>
          <b:Person>
            <b:Last>Isaza</b:Last>
            <b:First>German</b:First>
          </b:Person>
        </b:NameList>
      </b:Author>
    </b:Author>
    <b:URL>https://revista.redipe.org/index.php/1/article/view/1237/1144</b:URL>
    <b:RefOrder>612</b:RefOrder>
  </b:Source>
  <b:Source>
    <b:Tag>Viñ16</b:Tag>
    <b:SourceType>Report</b:SourceType>
    <b:Guid>{6869D9DE-86E4-4CB5-AB82-158081B3FD78}</b:Guid>
    <b:Title>El rol del docente en la era digital</b:Title>
    <b:Year>2016</b:Year>
    <b:Publisher>Revista Interuniversitaria de Formación del Profesorado</b:Publisher>
    <b:City>España</b:City>
    <b:Author>
      <b:Author>
        <b:NameList>
          <b:Person>
            <b:Last>Viñals</b:Last>
            <b:First>Ana</b:First>
          </b:Person>
          <b:Person>
            <b:Last>Cuenca</b:Last>
            <b:First>Jaime</b:First>
          </b:Person>
        </b:NameList>
      </b:Author>
    </b:Author>
    <b:URL>https://www.redalyc.org/pdf/274/27447325008.pdf</b:URL>
    <b:RefOrder>613</b:RefOrder>
  </b:Source>
  <b:Source>
    <b:Tag>Gue161</b:Tag>
    <b:SourceType>JournalArticle</b:SourceType>
    <b:Guid>{C6E17823-1D74-45E8-BE44-71F21F7D2DC9}</b:Guid>
    <b:Title>La investigación cualitativa</b:Title>
    <b:Year>2016</b:Year>
    <b:Author>
      <b:Author>
        <b:NameList>
          <b:Person>
            <b:Last>Guerrero</b:Last>
            <b:First>María</b:First>
          </b:Person>
        </b:NameList>
      </b:Author>
    </b:Author>
    <b:JournalName>INNOVA Research Journal</b:JournalName>
    <b:Pages>1-9</b:Pages>
    <b:Volume>1</b:Volume>
    <b:Issue>2</b:Issue>
    <b:RefOrder>614</b:RefOrder>
  </b:Source>
  <b:Source>
    <b:Tag>Gal20</b:Tag>
    <b:SourceType>Book</b:SourceType>
    <b:Guid>{F4F3FC05-460B-4142-A4ED-832F85E12291}</b:Guid>
    <b:Author>
      <b:Author>
        <b:NameList>
          <b:Person>
            <b:Last>Galindo</b:Last>
            <b:First>Héctor</b:First>
          </b:Person>
        </b:NameList>
      </b:Author>
    </b:Author>
    <b:Title>Estadística para no estadísticos: una guía básica sobre la metodología cuantitativa de trabajos académicos</b:Title>
    <b:Year>2020</b:Year>
    <b:City>Alicante</b:City>
    <b:Publisher>3Ciencias</b:Publisher>
    <b:RefOrder>615</b:RefOrder>
  </b:Source>
  <b:Source>
    <b:Tag>Cés16</b:Tag>
    <b:SourceType>Book</b:SourceType>
    <b:Guid>{7BEB1D59-9169-434E-B48F-24DDCD26ECC1}</b:Guid>
    <b:Author>
      <b:Author>
        <b:NameList>
          <b:Person>
            <b:Last>Bernal</b:Last>
            <b:First>César</b:First>
          </b:Person>
        </b:NameList>
      </b:Author>
    </b:Author>
    <b:Title>Metodología de la investigación</b:Title>
    <b:Year>2016</b:Year>
    <b:City>México</b:City>
    <b:Publisher>Pearson</b:Publisher>
    <b:RefOrder>616</b:RefOrder>
  </b:Source>
  <b:Source>
    <b:Tag>Her11</b:Tag>
    <b:SourceType>Book</b:SourceType>
    <b:Guid>{5AA4D9C0-469F-4EA8-9C27-1DEA44558415}</b:Guid>
    <b:Author>
      <b:Author>
        <b:NameList>
          <b:Person>
            <b:Last>Hernández</b:Last>
            <b:First>Roberto</b:First>
          </b:Person>
          <b:Person>
            <b:Last>Fernández</b:Last>
            <b:First>Carlos</b:First>
          </b:Person>
          <b:Person>
            <b:Last>Baptista</b:Last>
            <b:First>Pilar</b:First>
          </b:Person>
        </b:NameList>
      </b:Author>
    </b:Author>
    <b:Title>Metodología de la investigación</b:Title>
    <b:Year>2011</b:Year>
    <b:City>Bogotá</b:City>
    <b:Publisher>McGraw-Hill</b:Publisher>
    <b:RefOrder>617</b:RefOrder>
  </b:Source>
  <b:Source>
    <b:Tag>Pab06</b:Tag>
    <b:SourceType>Book</b:SourceType>
    <b:Guid>{40457A52-31F2-480D-B4C5-E1E115FDD964}</b:Guid>
    <b:Author>
      <b:Author>
        <b:NameList>
          <b:Person>
            <b:Last>Cazau</b:Last>
            <b:First>Pablo</b:First>
          </b:Person>
        </b:NameList>
      </b:Author>
    </b:Author>
    <b:Title>Introducción a la investigación en Ciencias Sociales  </b:Title>
    <b:Year>2006</b:Year>
    <b:City>Buenos Aires</b:City>
    <b:Publisher>Alcazaba</b:Publisher>
    <b:RefOrder>618</b:RefOrder>
  </b:Source>
  <b:Source>
    <b:Tag>Moh10</b:Tag>
    <b:SourceType>Book</b:SourceType>
    <b:Guid>{E74A87AF-14B2-40CF-93BA-42FD2A1F04D0}</b:Guid>
    <b:Author>
      <b:Author>
        <b:NameList>
          <b:Person>
            <b:Last>Naghi</b:Last>
            <b:First>Mohammad</b:First>
          </b:Person>
        </b:NameList>
      </b:Author>
    </b:Author>
    <b:Title>Metodología de la investigación</b:Title>
    <b:Year>2010</b:Year>
    <b:City>México</b:City>
    <b:Publisher>Editorial Limusa</b:Publisher>
    <b:RefOrder>619</b:RefOrder>
  </b:Source>
  <b:Source>
    <b:Tag>Víl11</b:Tag>
    <b:SourceType>JournalArticle</b:SourceType>
    <b:Guid>{10F19DD9-88B8-44FB-81A2-3AE92005D355}</b:Guid>
    <b:Author>
      <b:Author>
        <b:NameList>
          <b:Person>
            <b:Last>Vílchez</b:Last>
            <b:First>María</b:First>
          </b:Person>
        </b:NameList>
      </b:Author>
    </b:Author>
    <b:Title>La cultura en el aula: la integración cultural</b:Title>
    <b:JournalName>Exedra</b:JournalName>
    <b:Year>2011</b:Year>
    <b:Pages>91-104</b:Pages>
    <b:Issue>2</b:Issue>
    <b:RefOrder>620</b:RefOrder>
  </b:Source>
  <b:Source>
    <b:Tag>Díe15</b:Tag>
    <b:SourceType>JournalArticle</b:SourceType>
    <b:Guid>{E82E9474-CC15-4E1D-9F31-066944828802}</b:Guid>
    <b:Author>
      <b:Author>
        <b:NameList>
          <b:Person>
            <b:Last>Díez</b:Last>
            <b:First>Carmen</b:First>
          </b:Person>
        </b:NameList>
      </b:Author>
    </b:Author>
    <b:Title>Procesos culturales. Una aproximación desde la antropología visual</b:Title>
    <b:JournalName>Norba</b:JournalName>
    <b:Year>2015</b:Year>
    <b:Pages>93-116</b:Pages>
    <b:Volume>18</b:Volume>
    <b:RefOrder>621</b:RefOrder>
  </b:Source>
  <b:Source>
    <b:Tag>Mol17</b:Tag>
    <b:SourceType>JournalArticle</b:SourceType>
    <b:Guid>{28EEF126-2A32-4682-8DB7-511C91FE38ED}</b:Guid>
    <b:Author>
      <b:Author>
        <b:NameList>
          <b:Person>
            <b:Last>Molano</b:Last>
            <b:First>Olga</b:First>
          </b:Person>
        </b:NameList>
      </b:Author>
    </b:Author>
    <b:Title>Identidad cultural un concepto que evoluciona</b:Title>
    <b:JournalName>Revista Opera</b:JournalName>
    <b:Year>2017</b:Year>
    <b:Pages>69-84</b:Pages>
    <b:Issue>7</b:Issue>
    <b:RefOrder>622</b:RefOrder>
  </b:Source>
  <b:Source>
    <b:Tag>Die21</b:Tag>
    <b:SourceType>JournalArticle</b:SourceType>
    <b:Guid>{3254E4FD-5194-4D64-AD93-EEC27D4F24E2}</b:Guid>
    <b:Author>
      <b:Author>
        <b:NameList>
          <b:Person>
            <b:Last>Sánchez</b:Last>
            <b:First>Diego</b:First>
          </b:Person>
        </b:NameList>
      </b:Author>
    </b:Author>
    <b:Title>La escuela como lugar de encuentro y resignificación</b:Title>
    <b:JournalName>Vinculando</b:JournalName>
    <b:Year>2021</b:Year>
    <b:Pages>1-9</b:Pages>
    <b:RefOrder>623</b:RefOrder>
  </b:Source>
  <b:Source>
    <b:Tag>Fea11</b:Tag>
    <b:SourceType>JournalArticle</b:SourceType>
    <b:Guid>{866D9FAE-B8C6-4A88-91B7-367437C9B138}</b:Guid>
    <b:Author>
      <b:Author>
        <b:Corporate>Feandalucia</b:Corporate>
      </b:Author>
    </b:Author>
    <b:Title>La diversidad cultural en la escuela</b:Title>
    <b:JournalName>Temas para la Educación</b:JournalName>
    <b:Year>2011</b:Year>
    <b:Pages>1-6</b:Pages>
    <b:Issue>13</b:Issue>
    <b:RefOrder>624</b:RefOrder>
  </b:Source>
  <b:Source>
    <b:Tag>Bae18</b:Tag>
    <b:SourceType>JournalArticle</b:SourceType>
    <b:Guid>{20A544D3-277F-4ED5-AA81-4CFA8010F39B}</b:Guid>
    <b:Author>
      <b:Author>
        <b:NameList>
          <b:Person>
            <b:Last>Baeza</b:Last>
            <b:First>Jorge</b:First>
          </b:Person>
        </b:NameList>
      </b:Author>
    </b:Author>
    <b:Title>Le diálogo cultural de la escuela y en la escuela</b:Title>
    <b:JournalName>Estudios Pedagógicos</b:JournalName>
    <b:Year>2018</b:Year>
    <b:Pages>193-206</b:Pages>
    <b:Volume>XXXIV</b:Volume>
    <b:Issue>2</b:Issue>
    <b:RefOrder>625</b:RefOrder>
  </b:Source>
  <b:Source>
    <b:Tag>Ter17</b:Tag>
    <b:SourceType>Book</b:SourceType>
    <b:Guid>{1F1636D1-7E16-4FA6-A31B-19825F6C9628}</b:Guid>
    <b:Title>Educación Intercultural</b:Title>
    <b:Year>2017</b:Year>
    <b:Author>
      <b:Author>
        <b:NameList>
          <b:Person>
            <b:Last>Aguada</b:Last>
            <b:First>Teresa</b:First>
          </b:Person>
          <b:Person>
            <b:Last>Mata</b:Last>
            <b:First>Patricia</b:First>
          </b:Person>
        </b:NameList>
      </b:Author>
    </b:Author>
    <b:City>Madrid</b:City>
    <b:Publisher>UNED</b:Publisher>
    <b:RefOrder>626</b:RefOrder>
  </b:Source>
  <b:Source>
    <b:Tag>Arr13</b:Tag>
    <b:SourceType>JournalArticle</b:SourceType>
    <b:Guid>{15606E46-2E94-4BEB-A5A9-BDA359B09E66}</b:Guid>
    <b:Author>
      <b:Author>
        <b:NameList>
          <b:Person>
            <b:Last>Arroyo</b:Last>
            <b:First>María</b:First>
          </b:Person>
        </b:NameList>
      </b:Author>
    </b:Author>
    <b:Title>La Educación Intercultural: un camino hacia la inclusión educativa</b:Title>
    <b:JournalName>Revista de Educación Inclusiva</b:JournalName>
    <b:Year>2013</b:Year>
    <b:Pages>144-159</b:Pages>
    <b:Volume>6</b:Volume>
    <b:Issue>2</b:Issue>
    <b:RefOrder>627</b:RefOrder>
  </b:Source>
  <b:Source>
    <b:Tag>MarcadorDePosición31</b:Tag>
    <b:SourceType>JournalArticle</b:SourceType>
    <b:Guid>{06F29C8A-D1EE-48B7-B2F2-70C64C83BC52}</b:Guid>
    <b:Title>Los Retos de la Educación Intercultural en el Siglo XXI</b:Title>
    <b:Year>2018</b:Year>
    <b:Author>
      <b:Author>
        <b:NameList>
          <b:Person>
            <b:Last>Guzmán</b:Last>
            <b:First>Francisco</b:First>
          </b:Person>
        </b:NameList>
      </b:Author>
    </b:Author>
    <b:JournalName>Revista Latinoamericana de Educación Inclusiva</b:JournalName>
    <b:Pages>199-212</b:Pages>
    <b:Volume>12</b:Volume>
    <b:Issue>1</b:Issue>
    <b:RefOrder>628</b:RefOrder>
  </b:Source>
  <b:Source>
    <b:Tag>Fue15</b:Tag>
    <b:SourceType>JournalArticle</b:SourceType>
    <b:Guid>{295C0577-BEB6-4C10-AB21-7ED25FE69C0A}</b:Guid>
    <b:Author>
      <b:Author>
        <b:NameList>
          <b:Person>
            <b:Last>Fuentes</b:Last>
            <b:First>Odalys</b:First>
          </b:Person>
        </b:NameList>
      </b:Author>
    </b:Author>
    <b:Title>La organización escolar. Fundamentos e importancia para la dirección en la educación</b:Title>
    <b:Year>2015</b:Year>
    <b:City>La</b:City>
    <b:JournalName>VARONA</b:JournalName>
    <b:Pages>1-12</b:Pages>
    <b:Issue>61</b:Issue>
    <b:RefOrder>629</b:RefOrder>
  </b:Source>
  <b:Source>
    <b:Tag>Bet15</b:Tag>
    <b:SourceType>Report</b:SourceType>
    <b:Guid>{809A2E27-1FD8-4E82-B54A-C22BBB1A7D13}</b:Guid>
    <b:Title>Organización del sistema educativo en el Ecuador y sus órganos rectores por niveles, circuitos y distritos</b:Title>
    <b:Year>2015</b:Year>
    <b:Author>
      <b:Author>
        <b:NameList>
          <b:Person>
            <b:Last>Coronel</b:Last>
            <b:First>Betty</b:First>
          </b:Person>
        </b:NameList>
      </b:Author>
    </b:Author>
    <b:Publisher>UTMACH</b:Publisher>
    <b:City>Machala</b:City>
    <b:RefOrder>630</b:RefOrder>
  </b:Source>
  <b:Source>
    <b:Tag>Bar17</b:Tag>
    <b:SourceType>JournalArticle</b:SourceType>
    <b:Guid>{598B7B40-AF22-49A7-BFA9-CAD6414B5D6F}</b:Guid>
    <b:Author>
      <b:Author>
        <b:NameList>
          <b:Person>
            <b:Last>Barrera</b:Last>
            <b:First>Helder</b:First>
          </b:Person>
          <b:Person>
            <b:Last>Barragán</b:Last>
            <b:First>Teresa</b:First>
          </b:Person>
          <b:Person>
            <b:Last>Ortega</b:Last>
            <b:First>Grace</b:First>
          </b:Person>
        </b:NameList>
      </b:Author>
    </b:Author>
    <b:Title>La realidad educativa ecuatoriana desde una perspectiva docente</b:Title>
    <b:JournalName>Revista Iberoamericana de Educación</b:JournalName>
    <b:Year>2017</b:Year>
    <b:Pages>9-20</b:Pages>
    <b:Volume>75</b:Volume>
    <b:Issue>2</b:Issue>
    <b:RefOrder>631</b:RefOrder>
  </b:Source>
  <b:Source>
    <b:Tag>MarcadorDePosición32</b:Tag>
    <b:SourceType>JournalArticle</b:SourceType>
    <b:Guid>{FF78A136-2B03-4FED-AFB0-AB72DA50825B}</b:Guid>
    <b:Author>
      <b:Author>
        <b:NameList>
          <b:Person>
            <b:Last>Herrán</b:Last>
            <b:First>Agustín</b:First>
          </b:Person>
          <b:Person>
            <b:Last>Ruiz</b:Last>
            <b:First>Ana</b:First>
          </b:Person>
          <b:Person>
            <b:Last>Lara</b:Last>
            <b:First>Fernando</b:First>
          </b:Person>
        </b:NameList>
      </b:Author>
    </b:Author>
    <b:Title>Claves del cambio educativo en Ecuador</b:Title>
    <b:JournalName>Foro de Educación</b:JournalName>
    <b:Year>2018</b:Year>
    <b:Pages>141-166</b:Pages>
    <b:Volume>16</b:Volume>
    <b:Issue>24</b:Issue>
    <b:RefOrder>632</b:RefOrder>
  </b:Source>
  <b:Source>
    <b:Tag>Gil20</b:Tag>
    <b:SourceType>Book</b:SourceType>
    <b:Guid>{61DBBD16-8000-418F-B709-7BA63064D156}</b:Guid>
    <b:Title>Temas de introducción a la formación pedagógica</b:Title>
    <b:Year>2020</b:Year>
    <b:Author>
      <b:Author>
        <b:NameList>
          <b:Person>
            <b:Last>García</b:Last>
            <b:First>Gilberto</b:First>
          </b:Person>
        </b:NameList>
      </b:Author>
    </b:Author>
    <b:City>La Habana</b:City>
    <b:Publisher>Pueblo y Educación</b:Publisher>
    <b:RefOrder>633</b:RefOrder>
  </b:Source>
  <b:Source>
    <b:Tag>Alv18</b:Tag>
    <b:SourceType>JournalArticle</b:SourceType>
    <b:Guid>{E6D9BB69-7D07-4224-A3DD-FFAC11FC014A}</b:Guid>
    <b:Author>
      <b:Author>
        <b:NameList>
          <b:Person>
            <b:Last>Alvarado</b:Last>
            <b:First>Yelena</b:First>
          </b:Person>
          <b:Person>
            <b:Last>Barrera</b:Last>
            <b:First>Ana</b:First>
          </b:Person>
          <b:Person>
            <b:Last>Breijo</b:Last>
            <b:First>Taymí</b:First>
          </b:Person>
          <b:Person>
            <b:Last>Bonilla</b:Last>
            <b:First>Ivón</b:First>
          </b:Person>
        </b:NameList>
      </b:Author>
    </b:Author>
    <b:Title>El proceso de enseñanzaaprendizaje de los Estudios Lingüísticos: su impacto en la motivación hacia el estudio de la lengua</b:Title>
    <b:JournalName>MENDIVE</b:JournalName>
    <b:Year>2018</b:Year>
    <b:Pages>610-623</b:Pages>
    <b:Volume>16</b:Volume>
    <b:Issue>4</b:Issue>
    <b:RefOrder>634</b:RefOrder>
  </b:Source>
  <b:Source>
    <b:Tag>Bra16</b:Tag>
    <b:SourceType>JournalArticle</b:SourceType>
    <b:Guid>{BC5225DF-B8EA-4964-83F8-F9AF3773829C}</b:Guid>
    <b:Author>
      <b:Author>
        <b:NameList>
          <b:Person>
            <b:Last>Bravo</b:Last>
            <b:First>Gisela</b:First>
          </b:Person>
          <b:Person>
            <b:Last>Cáceres</b:Last>
            <b:First>Maritza</b:First>
          </b:Person>
        </b:NameList>
      </b:Author>
    </b:Author>
    <b:Title>El proceso de enseñanza-aprendizaje desde una perspectiva comunicativa</b:Title>
    <b:Year>2016</b:Year>
    <b:JournalName>Revista Iberoamericana de Educación</b:JournalName>
    <b:Pages>1-7</b:Pages>
    <b:RefOrder>635</b:RefOrder>
  </b:Source>
  <b:Source>
    <b:Tag>Ara14</b:Tag>
    <b:SourceType>JournalArticle</b:SourceType>
    <b:Guid>{FD1979D0-6FCA-4D9E-B9CD-2907490EAC8A}</b:Guid>
    <b:Author>
      <b:Author>
        <b:NameList>
          <b:Person>
            <b:Last>Arango</b:Last>
            <b:First>Olber</b:First>
          </b:Person>
          <b:Person>
            <b:Last>Clavijo</b:Last>
            <b:First>Sandra</b:First>
          </b:Person>
        </b:NameList>
      </b:Author>
    </b:Author>
    <b:Title>Formación académica, valores, empatía y comportamientos socialmente responsables en estudiantes universitarios</b:Title>
    <b:JournalName>Revista de la Educación Superior</b:JournalName>
    <b:Year>2014</b:Year>
    <b:Pages>89-105</b:Pages>
    <b:Volume>43</b:Volume>
    <b:Issue>169</b:Issue>
    <b:RefOrder>636</b:RefOrder>
  </b:Source>
  <b:Source>
    <b:Tag>Esc15</b:Tag>
    <b:SourceType>JournalArticle</b:SourceType>
    <b:Guid>{4B072849-6FD6-4E12-A9E2-D2962A7A034B}</b:Guid>
    <b:Author>
      <b:Author>
        <b:NameList>
          <b:Person>
            <b:Last>Escobar</b:Last>
            <b:First>María</b:First>
          </b:Person>
        </b:NameList>
      </b:Author>
    </b:Author>
    <b:Title>Influencia de la interacción alumno-docente en el proceso enseñanza-aprendizaje</b:Title>
    <b:JournalName>Paakat: Revista de Tecnología y Sociedad</b:JournalName>
    <b:Year>2015</b:Year>
    <b:Pages>1-8</b:Pages>
    <b:Issue>8</b:Issue>
    <b:RefOrder>637</b:RefOrder>
  </b:Source>
  <b:Source>
    <b:Tag>MarcadorDePosición33</b:Tag>
    <b:SourceType>JournalArticle</b:SourceType>
    <b:Guid>{E35F6962-B5F1-4736-AFC3-9B10216CC7E6}</b:Guid>
    <b:Author>
      <b:Author>
        <b:NameList>
          <b:Person>
            <b:Last>Hernández</b:Last>
            <b:First>Rafael</b:First>
          </b:Person>
          <b:Person>
            <b:Last>Infante</b:Last>
            <b:First>María</b:First>
          </b:Person>
        </b:NameList>
      </b:Author>
    </b:Author>
    <b:Title>Aproximación al proceso de enseñanza-aprendizaje desarrollador</b:Title>
    <b:JournalName>EPISTEME</b:JournalName>
    <b:Year>2017</b:Year>
    <b:Pages>365-375</b:Pages>
    <b:Volume>4</b:Volume>
    <b:Issue>3</b:Issue>
    <b:RefOrder>638</b:RefOrder>
  </b:Source>
  <b:Source>
    <b:Tag>Riz20</b:Tag>
    <b:SourceType>JournalArticle</b:SourceType>
    <b:Guid>{EA792DDC-DA8E-444A-B239-E77F604F22FD}</b:Guid>
    <b:Author>
      <b:Author>
        <b:NameList>
          <b:Person>
            <b:Last>Rizo</b:Last>
            <b:First>Marlene</b:First>
          </b:Person>
        </b:NameList>
      </b:Author>
    </b:Author>
    <b:Title>Rol del docente y estudiante en la educación virtual</b:Title>
    <b:JournalName>Revista Multi-Ensayos</b:JournalName>
    <b:Year>2020</b:Year>
    <b:Pages>28-37</b:Pages>
    <b:Volume>6</b:Volume>
    <b:Issue>22</b:Issue>
    <b:RefOrder>639</b:RefOrder>
  </b:Source>
  <b:Source>
    <b:Tag>Fig181</b:Tag>
    <b:SourceType>JournalArticle</b:SourceType>
    <b:Guid>{85063265-28B2-4754-A87D-1A4E3D047A6D}</b:Guid>
    <b:Author>
      <b:Author>
        <b:NameList>
          <b:Person>
            <b:Last>Figueroa</b:Last>
            <b:First>Ericka</b:First>
          </b:Person>
          <b:Person>
            <b:Last>Esteves</b:Last>
            <b:First>Zila</b:First>
          </b:Person>
          <b:Person>
            <b:Last>Bravo</b:Last>
            <b:First>Olga</b:First>
          </b:Person>
          <b:Person>
            <b:Last>Estrella</b:Last>
            <b:First>Patricia</b:First>
          </b:Person>
        </b:NameList>
      </b:Author>
    </b:Author>
    <b:Title>Los escenarios educativos en la actualidad: historicidad, reflexiones y propuestas para la mejora educativa en el Ecuador</b:Title>
    <b:Year>2018</b:Year>
    <b:JournalName>INNOVA Research Journal</b:JournalName>
    <b:Pages>175-188</b:Pages>
    <b:Volume>2</b:Volume>
    <b:Issue>10</b:Issue>
    <b:RefOrder>640</b:RefOrder>
  </b:Source>
  <b:Source>
    <b:Tag>Mor161</b:Tag>
    <b:SourceType>JournalArticle</b:SourceType>
    <b:Guid>{1E5A057C-23CC-4C65-8EEF-ED61C61FDAC9}</b:Guid>
    <b:Author>
      <b:Author>
        <b:NameList>
          <b:Person>
            <b:Last>Moreno</b:Last>
            <b:First>Emilce</b:First>
          </b:Person>
        </b:NameList>
      </b:Author>
    </b:Author>
    <b:Title>El análisis crítico en el escenario educativo</b:Title>
    <b:JournalName>Revista del Instituto de Estudios en Educación y del Instituto de Idiomas Universidad del Norte</b:JournalName>
    <b:Year>2016</b:Year>
    <b:Pages>129-148</b:Pages>
    <b:Issue>25</b:Issue>
    <b:RefOrder>641</b:RefOrder>
  </b:Source>
  <b:Source>
    <b:Tag>Muñ14</b:Tag>
    <b:SourceType>JournalArticle</b:SourceType>
    <b:Guid>{68E68320-FDD1-4749-8127-710165D3509C}</b:Guid>
    <b:Author>
      <b:Author>
        <b:NameList>
          <b:Person>
            <b:Last>Muñoz</b:Last>
            <b:First>Sandra</b:First>
          </b:Person>
          <b:Person>
            <b:Last>Ávila</b:Last>
            <b:First>Wilson</b:First>
          </b:Person>
        </b:NameList>
      </b:Author>
    </b:Author>
    <b:Title>Prácticas culturales y su influencia en el rendimiento académico</b:Title>
    <b:Year>2014</b:Year>
    <b:JournalName>Plumilla Educativa</b:JournalName>
    <b:Pages>175-193</b:Pages>
    <b:RefOrder>642</b:RefOrder>
  </b:Source>
  <b:Source>
    <b:Tag>Día12</b:Tag>
    <b:SourceType>JournalArticle</b:SourceType>
    <b:Guid>{216EA884-4F37-478D-822A-33DB305CF3B8}</b:Guid>
    <b:Author>
      <b:Author>
        <b:NameList>
          <b:Person>
            <b:Last>Díaz</b:Last>
            <b:First>Ana</b:First>
          </b:Person>
          <b:Person>
            <b:Last>Quiroz</b:Last>
            <b:First>Ruth</b:First>
          </b:Person>
        </b:NameList>
      </b:Author>
    </b:Author>
    <b:Title>¿Cómo ven la formación cultural los estudiantes de la Licenciatura en Lenguas Extranjeras?</b:Title>
    <b:JournalName>Lenguaje</b:JournalName>
    <b:Year>2012</b:Year>
    <b:Pages>17-40</b:Pages>
    <b:Volume>40</b:Volume>
    <b:Issue>1</b:Issue>
    <b:RefOrder>643</b:RefOrder>
  </b:Source>
  <b:Source>
    <b:Tag>Val10</b:Tag>
    <b:SourceType>JournalArticle</b:SourceType>
    <b:Guid>{E8B1B117-04EC-4511-9D3A-7DBDB1C03D83}</b:Guid>
    <b:Author>
      <b:Author>
        <b:NameList>
          <b:Person>
            <b:Last>Valverde</b:Last>
            <b:First>Adrián</b:First>
          </b:Person>
        </b:NameList>
      </b:Author>
    </b:Author>
    <b:Title>La formación docente para una educación intercultural en la escuela secundaria</b:Title>
    <b:JournalName>Cuicuilco</b:JournalName>
    <b:Year>2010</b:Year>
    <b:Pages>133-147</b:Pages>
    <b:Volume>17</b:Volume>
    <b:Issue>48</b:Issue>
    <b:RefOrder>644</b:RefOrder>
  </b:Source>
  <b:Source>
    <b:Tag>MarcadorDePosición34</b:Tag>
    <b:SourceType>JournalArticle</b:SourceType>
    <b:Guid>{8707FBF3-E366-43E9-855E-CABA1B6CA10E}</b:Guid>
    <b:Author>
      <b:Author>
        <b:NameList>
          <b:Person>
            <b:Last>Vega</b:Last>
            <b:First>Arianna</b:First>
          </b:Person>
          <b:Person>
            <b:Last>Trujillo</b:Last>
            <b:First>Jesús</b:First>
          </b:Person>
        </b:NameList>
      </b:Author>
    </b:Author>
    <b:Title>El Método Histórico Crítico en el estudio de movimientos sociales</b:Title>
    <b:Year>2020</b:Year>
    <b:JournalName>Espacio Abierto</b:JournalName>
    <b:Pages>164-183</b:Pages>
    <b:RefOrder>645</b:RefOrder>
  </b:Source>
  <b:Source>
    <b:Tag>Lop10</b:Tag>
    <b:SourceType>JournalArticle</b:SourceType>
    <b:Guid>{AC574F4C-4F50-4DCE-93EB-AAF01B91AC5C}</b:Guid>
    <b:Author>
      <b:Author>
        <b:NameList>
          <b:Person>
            <b:Last>Lopera</b:Last>
            <b:First>Juan</b:First>
          </b:Person>
        </b:NameList>
      </b:Author>
    </b:Author>
    <b:Title>El método analítico como método natural</b:Title>
    <b:JournalName>Nómadas. Critical Journal of Social and Juridical Sciences</b:JournalName>
    <b:Year>2010</b:Year>
    <b:Pages>1-28</b:Pages>
    <b:Volume>25</b:Volume>
    <b:Issue>1</b:Issue>
    <b:RefOrder>646</b:RefOrder>
  </b:Source>
  <b:Source>
    <b:Tag>Bar151</b:Tag>
    <b:SourceType>JournalArticle</b:SourceType>
    <b:Guid>{F74244E6-2650-4D98-AA2C-50D1D42A2352}</b:Guid>
    <b:Title>Cultura y educación: hacia una aproximación integral</b:Title>
    <b:JournalName>Universitat Autònoma de Barcelona</b:JournalName>
    <b:Year>2015</b:Year>
    <b:Pages>35-39</b:Pages>
    <b:Author>
      <b:Author>
        <b:NameList>
          <b:Person>
            <b:Last>Barbieri</b:Last>
            <b:First>Nicolás</b:First>
          </b:Person>
        </b:NameList>
      </b:Author>
    </b:Author>
    <b:RefOrder>647</b:RefOrder>
  </b:Source>
  <b:Source>
    <b:Tag>Eur16</b:Tag>
    <b:SourceType>Report</b:SourceType>
    <b:Guid>{E6F241FB-5BDC-479F-BC33-D45B7D6D5F92}</b:Guid>
    <b:Author>
      <b:Author>
        <b:NameList>
          <b:Person>
            <b:Last>Kapp</b:Last>
            <b:First>K.</b:First>
          </b:Person>
        </b:NameList>
      </b:Author>
    </b:Author>
    <b:Title>La gamificación del aprendizaje y la instrucción: métodos y estrategias de juego para la formación y la educación.</b:Title>
    <b:Year>2012</b:Year>
    <b:City>San Francisco</b:City>
    <b:Publisher>Pfeiffer</b:Publisher>
    <b:RefOrder>648</b:RefOrder>
  </b:Source>
  <b:Source>
    <b:Tag>Val06</b:Tag>
    <b:SourceType>JournalArticle</b:SourceType>
    <b:Guid>{452A2326-BFEB-474B-9E82-179C106C0214}</b:Guid>
    <b:Author>
      <b:Author>
        <b:Corporate>Valle A. et al.</b:Corporate>
      </b:Author>
    </b:Author>
    <b:Title>Metas académicas, estrategias cognitivas y estrategias de autorregulación del estudio.</b:Title>
    <b:JournalName>Psicothema</b:JournalName>
    <b:Year>2006</b:Year>
    <b:Pages>18 (2), 165- 170.</b:Pages>
    <b:URL>http://www.psicothema.com/pdf/3193.pd</b:URL>
    <b:RefOrder>649</b:RefOrder>
  </b:Source>
  <b:Source>
    <b:Tag>Idr18</b:Tag>
    <b:SourceType>Report</b:SourceType>
    <b:Guid>{E6A3F7D1-8587-451E-A186-4E5C4054BE4A}</b:Guid>
    <b:Title>La gamificación y su aplicación pedagógica en el área de matemáticas para el cuarto año de EGB, de la Unidad Educativa CEBCI, Sección Matutina, Año Lectivo 2017-2018</b:Title>
    <b:Year>2018</b:Year>
    <b:Author>
      <b:Author>
        <b:NameList>
          <b:Person>
            <b:Last>Idrovo</b:Last>
            <b:First>Erika</b:First>
          </b:Person>
        </b:NameList>
      </b:Author>
    </b:Author>
    <b:Publisher>Universidad Politécnica Salesiana</b:Publisher>
    <b:City>Cuenca</b:City>
    <b:ThesisType>Trabajo de Titulación</b:ThesisType>
    <b:RefOrder>650</b:RefOrder>
  </b:Source>
  <b:Source>
    <b:Tag>Est08</b:Tag>
    <b:SourceType>Book</b:SourceType>
    <b:Guid>{61DDD840-9925-441E-A0B5-1AAEB49B604A}</b:Guid>
    <b:Author>
      <b:Author>
        <b:NameList>
          <b:Person>
            <b:Last>Arcos</b:Last>
            <b:First>Carlos</b:First>
          </b:Person>
          <b:Person>
            <b:Last>Espinosa</b:Last>
            <b:First>Betty</b:First>
          </b:Person>
        </b:NameList>
      </b:Author>
    </b:Author>
    <b:Title>Desafíos para la educación en el Ecuador: calidad y equidad</b:Title>
    <b:Year>2008</b:Year>
    <b:Publisher>FLACSO</b:Publisher>
    <b:City>Quito</b:City>
    <b:RefOrder>651</b:RefOrder>
  </b:Source>
  <b:Source>
    <b:Tag>Fer15</b:Tag>
    <b:SourceType>Book</b:SourceType>
    <b:Guid>{0BB96791-5CEB-4775-807B-92953235BC3E}</b:Guid>
    <b:Author>
      <b:Author>
        <b:NameList>
          <b:Person>
            <b:Last>Rodríguez</b:Last>
            <b:First>Fernando</b:First>
          </b:Person>
          <b:Person>
            <b:Last>Santiago</b:Last>
            <b:First>Raúl</b:First>
          </b:Person>
        </b:NameList>
      </b:Author>
    </b:Author>
    <b:Title>Gamificación: Cómo motivar a tu alumnado y mejorar el clima en el aula</b:Title>
    <b:Year>2015</b:Year>
    <b:City>Barcelona</b:City>
    <b:Publisher>OCEANO S.L.U.</b:Publisher>
    <b:RefOrder>652</b:RefOrder>
  </b:Source>
  <b:Source>
    <b:Tag>Tei17</b:Tag>
    <b:SourceType>Book</b:SourceType>
    <b:Guid>{E31CB383-A8D2-47E8-A6F6-040EFA1C63EB}</b:Guid>
    <b:Author>
      <b:Author>
        <b:NameList>
          <b:Person>
            <b:Last>Teixes</b:Last>
            <b:First>Ferran</b:First>
          </b:Person>
        </b:NameList>
      </b:Author>
    </b:Author>
    <b:Title>Gamificación: fundamentos y aplicaciones</b:Title>
    <b:Year>2014</b:Year>
    <b:Publisher>EditorialUOC</b:Publisher>
    <b:RefOrder>653</b:RefOrder>
  </b:Source>
  <b:Source>
    <b:Tag>Car</b:Tag>
    <b:SourceType>Report</b:SourceType>
    <b:Guid>{0D633A34-4085-4E02-B265-C53209C44A8A}</b:Guid>
    <b:Author>
      <b:Author>
        <b:NameList>
          <b:Person>
            <b:Last>Rojas</b:Last>
            <b:First>Carolina</b:First>
          </b:Person>
        </b:NameList>
      </b:Author>
    </b:Author>
    <b:Title>Estrategias de gamificación para el desarrollo de la inteligencia Lógico-Matemática de los estudiantes de sexto año de educación general básica de la unidad educativa atahualpa” </b:Title>
    <b:Year>2019</b:Year>
    <b:Publisher>Universidad Tecnológica Indoamérica, Magíster en Educación mención Innovación y Liderazgo Educativo</b:Publisher>
    <b:City>Ambato</b:City>
    <b:RefOrder>654</b:RefOrder>
  </b:Source>
  <b:Source>
    <b:Tag>Zic11</b:Tag>
    <b:SourceType>JournalArticle</b:SourceType>
    <b:Guid>{65C07356-F009-44DA-BB31-866F23CB0B79}</b:Guid>
    <b:Author>
      <b:Author>
        <b:NameList>
          <b:Person>
            <b:Last>Zichermann</b:Last>
            <b:First>G.</b:First>
          </b:Person>
          <b:Person>
            <b:Last>Cunningham</b:Last>
            <b:First>C.</b:First>
          </b:Person>
        </b:NameList>
      </b:Author>
    </b:Author>
    <b:Title>Gamificación por diseño: Implementación de mecánicas de juego en aplicaciones web y móviles</b:Title>
    <b:JournalName>O´Reilly Media, Inc.</b:JournalName>
    <b:Year>2011</b:Year>
    <b:RefOrder>655</b:RefOrder>
  </b:Source>
  <b:Source>
    <b:Tag>MarcadorDePosición35</b:Tag>
    <b:SourceType>JournalArticle</b:SourceType>
    <b:Guid>{D24A09D7-B547-48B8-8C50-FC8A610BB3DF}</b:Guid>
    <b:Author>
      <b:Author>
        <b:NameList>
          <b:Person>
            <b:Last>Alberto</b:Last>
            <b:First>Carolina</b:First>
          </b:Person>
        </b:NameList>
      </b:Author>
    </b:Author>
    <b:Title>El Hype Cycle de Gartner </b:Title>
    <b:JournalName>Nota de futuro - Publicaciones CAP</b:JournalName>
    <b:Year>2017</b:Year>
    <b:RefOrder>656</b:RefOrder>
  </b:Source>
  <b:Source>
    <b:Tag>Det11</b:Tag>
    <b:SourceType>JournalArticle</b:SourceType>
    <b:Guid>{33A484C7-E40D-4F9C-92E3-63F0E0EB61C1}</b:Guid>
    <b:Author>
      <b:Author>
        <b:Corporate>Deterding et al.</b:Corporate>
      </b:Author>
    </b:Author>
    <b:Title>De los elementos del diseño del juego a la alegría: definir la gamificación</b:Title>
    <b:JournalName>ACM - Visualización de entornos de medios futuros</b:JournalName>
    <b:Year>2011</b:Year>
    <b:Pages>9-15</b:Pages>
    <b:RefOrder>657</b:RefOrder>
  </b:Source>
  <b:Source>
    <b:Tag>Rya001</b:Tag>
    <b:SourceType>JournalArticle</b:SourceType>
    <b:Guid>{9466C0DA-D37B-4632-B1CE-28121D5D58ED}</b:Guid>
    <b:Author>
      <b:Author>
        <b:NameList>
          <b:Person>
            <b:Last>Ryan</b:Last>
            <b:First>R</b:First>
          </b:Person>
          <b:Person>
            <b:Last>Deci</b:Last>
            <b:First>E</b:First>
          </b:Person>
        </b:NameList>
      </b:Author>
    </b:Author>
    <b:Title>Motivacion intrínseca y extrínseca: Definiciones clásicas y nuevas direcciones. </b:Title>
    <b:JournalName>Psicología de la educación contemporánea 25 , </b:JournalName>
    <b:Year>2000</b:Year>
    <b:Pages>54–67</b:Pages>
    <b:RefOrder>658</b:RefOrder>
  </b:Source>
  <b:Source>
    <b:Tag>Kel08</b:Tag>
    <b:SourceType>JournalArticle</b:SourceType>
    <b:Guid>{EA0CFE0C-1DE1-4FF9-AD7F-249079518E76}</b:Guid>
    <b:Author>
      <b:Author>
        <b:NameList>
          <b:Person>
            <b:Last>Keller</b:Last>
            <b:First>J.</b:First>
          </b:Person>
        </b:NameList>
      </b:Author>
    </b:Author>
    <b:Title>Diseño motivacional para e-learning y rendimiento</b:Title>
    <b:JournalName>Springer The ARCS 1ra Ed.</b:JournalName>
    <b:Year>2010</b:Year>
    <b:Pages>175-185</b:Pages>
    <b:RefOrder>659</b:RefOrder>
  </b:Source>
  <b:Source>
    <b:Tag>Adr17</b:Tag>
    <b:SourceType>Report</b:SourceType>
    <b:Guid>{9EED4FA7-5B68-4F7E-AC3B-DECAE2126EFA}</b:Guid>
    <b:Title>La Gamificación como estrategia para el desarrollo de la competencia matemática: plantear y resolver problemas.</b:Title>
    <b:Year>2017</b:Year>
    <b:City>Guayaquil</b:City>
    <b:Publisher>Universidad Casa Grande Trabajo Final para la Obtención del Título de Magíster en Tecnología e Innovación Educativa</b:Publisher>
    <b:Author>
      <b:Author>
        <b:NameList>
          <b:Person>
            <b:Last>Macías</b:Last>
            <b:First>Adriana</b:First>
          </b:Person>
        </b:NameList>
      </b:Author>
    </b:Author>
    <b:RefOrder>660</b:RefOrder>
  </b:Source>
  <b:Source>
    <b:Tag>Muñ19</b:Tag>
    <b:SourceType>JournalArticle</b:SourceType>
    <b:Guid>{4D25C88C-68AD-4DD1-9632-ECA4A91AA3C9}</b:Guid>
    <b:Author>
      <b:Author>
        <b:Corporate>Muñoz et al.</b:Corporate>
      </b:Author>
    </b:Author>
    <b:Title>Gamificación en matemáticas, ¿Un nuevo enfoque?</b:Title>
    <b:Year>2019</b:Year>
    <b:Pages>29-45.</b:Pages>
    <b:URL>http://funes.uniandes.edu.co/16924/1/Mu%C3%B1oz2019Gamificacion.pdf</b:URL>
    <b:JournalName>Épsilon - Revista de Educación Matemática (101)</b:JournalName>
    <b:RefOrder>661</b:RefOrder>
  </b:Source>
  <b:Source>
    <b:Tag>Rev15</b:Tag>
    <b:SourceType>JournalArticle</b:SourceType>
    <b:Guid>{7DA4CB56-5130-45D8-8C2B-5043854449BC}</b:Guid>
    <b:Title>Gamificación del aprendizaje</b:Title>
    <b:Year>2015</b:Year>
    <b:City>Alcalá de Hares - España</b:City>
    <b:Author>
      <b:Author>
        <b:Corporate>Revista Educativa</b:Corporate>
      </b:Author>
    </b:Author>
    <b:JournalName>Educativa</b:JournalName>
    <b:URL>https://www.educativa.es/category/gamificacion/</b:URL>
    <b:RefOrder>662</b:RefOrder>
  </b:Source>
  <b:Source>
    <b:Tag>Bja07</b:Tag>
    <b:SourceType>Book</b:SourceType>
    <b:Guid>{CAB0C3A8-E64E-4ADA-908E-049ADFF09228}</b:Guid>
    <b:Title>"Desarrollo estratégico para la investigación científica"</b:Title>
    <b:Year>2007</b:Year>
    <b:City>Cancún,</b:City>
    <b:Author>
      <b:Author>
        <b:NameList>
          <b:Person>
            <b:Last>Bjarro</b:Last>
            <b:First>F.</b:First>
          </b:Person>
        </b:NameList>
      </b:Author>
    </b:Author>
    <b:URL>www.eumed.net/libros-gratis/2007c/306/306.zip&gt;</b:URL>
    <b:RefOrder>663</b:RefOrder>
  </b:Source>
  <b:Source>
    <b:Tag>Tün03</b:Tag>
    <b:SourceType>ConferenceProceedings</b:SourceType>
    <b:Guid>{1665EFEB-9BDD-4518-B798-50ABD0192DBE}</b:Guid>
    <b:Title>Desafíos de la Universidad en la Sociedad del Conocimiento, Cinco Años Después de la Conferencia Mundial sobre Educación Superior.</b:Title>
    <b:Year>2003</b:Year>
    <b:Author>
      <b:Author>
        <b:NameList>
          <b:Person>
            <b:Last>Tünnermann</b:Last>
            <b:First>C.</b:First>
          </b:Person>
          <b:Person>
            <b:Last>Souza</b:Last>
            <b:First>M.</b:First>
          </b:Person>
        </b:NameList>
      </b:Author>
    </b:Author>
    <b:URL>http://unesdoc.unesco.org/images/0013/001</b:URL>
    <b:ConferenceName>Conferencia Mundial sobre Educación Superior.</b:ConferenceName>
    <b:RefOrder>664</b:RefOrder>
  </b:Source>
  <b:Source>
    <b:Tag>Pér98</b:Tag>
    <b:SourceType>Book</b:SourceType>
    <b:Guid>{CBB8EB9A-B3BE-4AA4-BCDD-8D990D05A4FB}</b:Guid>
    <b:Author>
      <b:Author>
        <b:NameList>
          <b:Person>
            <b:Last>Pérez</b:Last>
            <b:First>A.</b:First>
          </b:Person>
        </b:NameList>
      </b:Author>
    </b:Author>
    <b:Title>Políticas del Conocimiento, Educación Superior y Desarrollo.</b:Title>
    <b:Pages>Buenos Aires, Argentina: Biblos</b:Pages>
    <b:Year>1998</b:Year>
    <b:City>Buenos Aires, Argentina:</b:City>
    <b:Publisher> Biblos</b:Publisher>
    <b:RefOrder>665</b:RefOrder>
  </b:Source>
  <b:Source>
    <b:Tag>Alp18</b:Tag>
    <b:SourceType>JournalArticle</b:SourceType>
    <b:Guid>{20FD885D-4ADB-4F06-A6ED-2A1C93E887FF}</b:Guid>
    <b:Title>Las competencias en el contexto de la</b:Title>
    <b:Year>2018</b:Year>
    <b:Author>
      <b:Author>
        <b:NameList>
          <b:Person>
            <b:Last>Alpizar</b:Last>
            <b:First>M.</b:First>
          </b:Person>
          <b:Person>
            <b:Last>Jorge</b:Last>
            <b:First>L..</b:First>
          </b:Person>
          <b:Person>
            <b:Last>Molina</b:Last>
            <b:First>M.</b:First>
          </b:Person>
        </b:NameList>
      </b:Author>
    </b:Author>
    <b:JournalName>Atenas</b:JournalName>
    <b:RefOrder>666</b:RefOrder>
  </b:Source>
  <b:Source>
    <b:Tag>Mar142</b:Tag>
    <b:SourceType>JournalArticle</b:SourceType>
    <b:Guid>{2752EB21-A803-4D65-A8BF-BC3664BCB23E}</b:Guid>
    <b:Author>
      <b:Author>
        <b:NameList>
          <b:Person>
            <b:Last>Marrero</b:Last>
            <b:First>O.</b:First>
          </b:Person>
        </b:NameList>
      </b:Author>
    </b:Author>
    <b:Title>Competencias investigativas en la educación superior.</b:Title>
    <b:JournalName>RES NON VERBA,</b:JournalName>
    <b:Year> 2014</b:Year>
    <b:RefOrder>667</b:RefOrder>
  </b:Source>
  <b:Source>
    <b:Tag>Eus12</b:Tag>
    <b:SourceType>Book</b:SourceType>
    <b:Guid>{950D0F15-A20D-458A-B540-AA278FBC20F2}</b:Guid>
    <b:Title>EL LENGUAJE CIENTÍFICO, LA DIVULGACIÓN.</b:Title>
    <b:Year>2012</b:Year>
    <b:Author>
      <b:Author>
        <b:NameList>
          <b:Person>
            <b:Last>Eusebio</b:Last>
            <b:First>V.</b:First>
          </b:Person>
          <b:Person>
            <b:Last>Llácer</b:Last>
            <b:First>Ll.</b:First>
          </b:Person>
        </b:NameList>
      </b:Author>
    </b:Author>
    <b:URL>https://www.uv.es/ferbaro/papers/lenguaje.pdf</b:URL>
    <b:RefOrder>668</b:RefOrder>
  </b:Source>
  <b:Source>
    <b:Tag>UNE08</b:Tag>
    <b:SourceType>ConferenceProceedings</b:SourceType>
    <b:Guid>{5EA42B56-0EBB-4DED-BA5A-E189388360CB}</b:Guid>
    <b:Author>
      <b:Author>
        <b:Corporate>UNESCO</b:Corporate>
      </b:Author>
    </b:Author>
    <b:Title> Unidad.Universidad y desarrollo en Latinoamérica: experiencias exitosas de centros de investigación. E.E. U.U.</b:Title>
    <b:Year>2008</b:Year>
    <b:ConferenceName>Organización de la Naciones Unidad.Para la Educación, la ciencia y la cultura. </b:ConferenceName>
    <b:RefOrder>669</b:RefOrder>
  </b:Source>
  <b:Source>
    <b:Tag>Sen13</b:Tag>
    <b:SourceType>Book</b:SourceType>
    <b:Guid>{0BDE90B9-54C6-4976-83C8-A78438C2F5A9}</b:Guid>
    <b:Author>
      <b:Author>
        <b:Corporate>Senplades</b:Corporate>
      </b:Author>
    </b:Author>
    <b:Title>Plan Naciona de Desarrollo/Plan Nacional para el Buen Vivir 2013-2017</b:Title>
    <b:Year>2017</b:Year>
    <b:City>Ecuador</b:City>
    <b:URL>http://www.cpccs.gob.ec/wp-content/uploads/2015/12/PNBV-2013-2017.pdf</b:URL>
    <b:YearAccessed>2020</b:YearAccessed>
    <b:MonthAccessed>mayo</b:MonthAccessed>
    <b:DayAccessed>11</b:DayAccessed>
    <b:RefOrder>670</b:RefOrder>
  </b:Source>
  <b:Source>
    <b:Tag>UNE092</b:Tag>
    <b:SourceType>ConferenceProceedings</b:SourceType>
    <b:Guid>{697EC7D7-6B98-472F-A903-68ED6F0F7399}</b:Guid>
    <b:Author>
      <b:Author>
        <b:Corporate> UNESCO</b:Corporate>
      </b:Author>
    </b:Author>
    <b:Title>Conferencia Mundial sobre la Educación Superior – 2009: </b:Title>
    <b:Year>2009</b:Year>
    <b:ConferenceName>La nueva dinámica de la educación superior y la investigación para el cambio social y el desarrollo. </b:ConferenceName>
    <b:City>Paris.</b:City>
    <b:Publisher>Organización de la Naciones Unidad..</b:Publisher>
    <b:RefOrder>671</b:RefOrder>
  </b:Source>
  <b:Source>
    <b:Tag>Mor05</b:Tag>
    <b:SourceType>JournalArticle</b:SourceType>
    <b:Guid>{C5690E2D-F724-4552-AC94-EAB0562E0102}</b:Guid>
    <b:Author>
      <b:Author>
        <b:NameList>
          <b:Person>
            <b:Last>Moreno</b:Last>
            <b:First>G.</b:First>
          </b:Person>
        </b:NameList>
      </b:Author>
    </b:Author>
    <b:Title>Potenciar la educación. Un curricular transversal de formación para la investigación.</b:Title>
    <b:Year>2005</b:Year>
    <b:JournalName> Revista Electrónica Iberoamericana sobre calidad, eficacia y cambio en educación. </b:JournalName>
    <b:RefOrder>672</b:RefOrder>
  </b:Source>
  <b:Source>
    <b:Tag>Mor051</b:Tag>
    <b:SourceType>JournalArticle</b:SourceType>
    <b:Guid>{516B7A9A-CE04-4790-835B-1502E419A93C}</b:Guid>
    <b:Author>
      <b:Author>
        <b:NameList>
          <b:Person>
            <b:Last>Moreno</b:Last>
            <b:First>G.</b:First>
          </b:Person>
        </b:NameList>
      </b:Author>
    </b:Author>
    <b:Title> Potenciar la educación. Un curriculum transversal de formación para la investigación. </b:Title>
    <b:JournalName>Revista electrónica iberoamericana sobre calidad, eficacia y cambio en Educación 1. España </b:JournalName>
    <b:Year>2005</b:Year>
    <b:Pages>520 -540. </b:Pages>
    <b:RefOrder>673</b:RefOrder>
  </b:Source>
  <b:Source>
    <b:Tag>Gar</b:Tag>
    <b:SourceType>JournalArticle</b:SourceType>
    <b:Guid>{00594622-8FCC-4E90-8197-244194BB3D83}</b:Guid>
    <b:Title>Los Origenes del Habeas Corpus</b:Title>
    <b:Author>
      <b:Author>
        <b:NameList>
          <b:Person>
            <b:Last>García Belaunde</b:Last>
            <b:First>Domingo</b:First>
          </b:Person>
        </b:NameList>
      </b:Author>
    </b:Author>
    <b:JournalName>Dialnet</b:JournalName>
    <b:URL>file:///F:/BIBLIOGRAFIA%20ART%C3%8DCULO%20CIENT%C3%8DFICO/Dialnet-LosOrigenesDelHabeasCorpus-5144010.pdf</b:URL>
    <b:RefOrder>674</b:RefOrder>
  </b:Source>
  <b:Source>
    <b:Tag>Gal</b:Tag>
    <b:SourceType>JournalArticle</b:SourceType>
    <b:Guid>{E3D8F1FC-D2B2-41D9-B09D-6CE1C0169714}</b:Guid>
    <b:Title>Consideraciones sobre el Habeas Corpus</b:Title>
    <b:Author>
      <b:Author>
        <b:NameList>
          <b:Person>
            <b:Last>Galindo Sandolal</b:Last>
            <b:First>Cesar</b:First>
          </b:Person>
        </b:NameList>
      </b:Author>
    </b:Author>
    <b:JournalName>Docentia et Investigati</b:JournalName>
    <b:RefOrder>675</b:RefOrder>
  </b:Source>
  <b:Source>
    <b:Tag>Flo04</b:Tag>
    <b:SourceType>Book</b:SourceType>
    <b:Guid>{DCE99B70-F6E0-44A4-A1C1-BBD6BC76EAC3}</b:Guid>
    <b:Author>
      <b:Author>
        <b:NameList>
          <b:Person>
            <b:Last>Flores Dapkevicius</b:Last>
            <b:First>Ruben,</b:First>
            <b:Middle>Citado por Corte Constitucional en sentencia Nro 171-15-SEP-CC</b:Middle>
          </b:Person>
        </b:NameList>
      </b:Author>
    </b:Author>
    <b:Title>Amparo, Habeas Corpus y Habeas Data</b:Title>
    <b:Year>2004</b:Year>
    <b:City>Montevideo</b:City>
    <b:Publisher>Editorial B de F</b:Publisher>
    <b:RefOrder>676</b:RefOrder>
  </b:Source>
  <b:Source>
    <b:Tag>Tri11</b:Tag>
    <b:SourceType>Misc</b:SourceType>
    <b:Guid>{3DD18B34-8547-46D9-8905-C7DF385F545A}</b:Guid>
    <b:Title>Sentencia Nro. 02663-2003-HC/TC</b:Title>
    <b:Year>2011</b:Year>
    <b:Author>
      <b:Author>
        <b:Corporate>Tribunal Constitucional Perunao </b:Corporate>
      </b:Author>
    </b:Author>
    <b:StateProvince>Peru</b:StateProvince>
    <b:RefOrder>677</b:RefOrder>
  </b:Source>
  <b:Source xmlns:b="http://schemas.openxmlformats.org/officeDocument/2006/bibliography">
    <b:Tag>Con94</b:Tag>
    <b:SourceType>Misc</b:SourceType>
    <b:Guid>{0FC593B1-246A-4F71-933A-682C849CE2C2}</b:Guid>
    <b:Title>Constitucion de la Nación Argentina </b:Title>
    <b:Year>1994</b:Year>
    <b:Author>
      <b:Author>
        <b:Corporate>Congreso de la Nacion Argentina </b:Corporate>
      </b:Author>
    </b:Author>
    <b:Month>Agosto </b:Month>
    <b:CountryRegion>Argentina </b:CountryRegion>
    <b:RefOrder>678</b:RefOrder>
  </b:Source>
  <b:Source>
    <b:Tag>ELS84</b:Tag>
    <b:SourceType>Misc</b:SourceType>
    <b:Guid>{93DB7EC1-6396-49DF-B312-237A8874FC64}</b:Guid>
    <b:Author>
      <b:Author>
        <b:Corporate>El Senado y la Cámara de Diputados de la Nación Argentina reunidos en congreso</b:Corporate>
      </b:Author>
    </b:Author>
    <b:Title>Ley 23.098 Procedimiento de Hábeas Corpus</b:Title>
    <b:Year>1984</b:Year>
    <b:Month>octubre</b:Month>
    <b:Day>19</b:Day>
    <b:City>Buenos Aires</b:City>
    <b:CountryRegion>Argentina</b:CountryRegion>
    <b:RefOrder>679</b:RefOrder>
  </b:Source>
  <b:Source>
    <b:Tag>Teb11</b:Tag>
    <b:SourceType>JournalArticle</b:SourceType>
    <b:Guid>{BB70EBE0-24E9-4AF3-A369-8E89192ABD49}</b:Guid>
    <b:Title>Habeas Corpus Preventivo y Unodad Carcelaria </b:Title>
    <b:Year>2011</b:Year>
    <b:Author>
      <b:Author>
        <b:NameList>
          <b:Person>
            <b:Last>Tebe</b:Last>
            <b:First>María</b:First>
            <b:Middle>Palina</b:Middle>
          </b:Person>
        </b:NameList>
      </b:Author>
    </b:Author>
    <b:JournalName>Revista Jurídica el Centro No 1</b:JournalName>
    <b:RefOrder>680</b:RefOrder>
  </b:Source>
  <b:Source>
    <b:Tag>Cor06</b:Tag>
    <b:SourceType>Misc</b:SourceType>
    <b:Guid>{44F76B20-9C38-4AC6-A80C-63BBC5F87CB1}</b:Guid>
    <b:Author>
      <b:Author>
        <b:Corporate>Corte Constitucional Colombiana</b:Corporate>
      </b:Author>
    </b:Author>
    <b:Title>Sentencia Nro. C-187.06</b:Title>
    <b:Year>2006</b:Year>
    <b:CountryRegion>Colombia </b:CountryRegion>
    <b:RefOrder>681</b:RefOrder>
  </b:Source>
  <b:Source>
    <b:Tag>Gon06</b:Tag>
    <b:SourceType>JournalArticle</b:SourceType>
    <b:Guid>{79426976-7D8A-45CE-B802-6E28CDEA9FE8}</b:Guid>
    <b:Title>Análisis jurídico a la Ley Estatutaria 1095 de 2006 de Habeas Corpus</b:Title>
    <b:Year>2006</b:Year>
    <b:Author>
      <b:Author>
        <b:NameList>
          <b:Person>
            <b:Last>Patiño</b:Last>
            <b:First>María</b:First>
            <b:Middle>Cristina</b:Middle>
          </b:Person>
        </b:NameList>
      </b:Author>
    </b:Author>
    <b:JournalName>Scielo</b:JournalName>
    <b:URL>http://www.scielo.org.co/scielo.php?script=sci_arttext&amp;pid=S0124-05792006000200006</b:URL>
    <b:RefOrder>682</b:RefOrder>
  </b:Source>
  <b:Source>
    <b:Tag>Asa15</b:Tag>
    <b:SourceType>Misc</b:SourceType>
    <b:Guid>{179F037C-1091-48B4-8780-81BDE3F71635}</b:Guid>
    <b:Title>Código Orgánico de la Función Judicial </b:Title>
    <b:Year>2015</b:Year>
    <b:Author>
      <b:Author>
        <b:Corporate>Asamblea Nacional </b:Corporate>
      </b:Author>
    </b:Author>
    <b:Month>Mayo</b:Month>
    <b:Day>22</b:Day>
    <b:CountryRegion>Ecuador</b:CountryRegion>
    <b:RefOrder>683</b:RefOrder>
  </b:Source>
  <b:Source>
    <b:Tag>ELU19</b:Tag>
    <b:SourceType>ArticleInAPeriodical</b:SourceType>
    <b:Guid>{AF2A9015-0EB6-4B22-9384-FAF84ACDD354}</b:Guid>
    <b:Title>Hábeas Corpus preventivo en Caso Coopera</b:Title>
    <b:Year>2019</b:Year>
    <b:Month>julio</b:Month>
    <b:Author>
      <b:Author>
        <b:Corporate>El Universo</b:Corporate>
      </b:Author>
    </b:Author>
    <b:URL>https://www.eluniverso.com/noticias/2019/07/14/nota/7425756/habeas-corpus-preventivo-caso-coopera</b:URL>
    <b:RefOrder>684</b:RefOrder>
  </b:Source>
  <b:Source>
    <b:Tag>MarcadorDePosición36</b:Tag>
    <b:SourceType>Case</b:SourceType>
    <b:Guid>{3D6FA1AF-55C3-4534-BA8A-9AB0038A92EB}</b:Guid>
    <b:Title>Acción de Hábeas Corpus</b:Title>
    <b:Year>2019</b:Year>
    <b:CaseNumber>01113-2018-00004</b:CaseNumber>
    <b:Court>Corte Nacional de Justicia</b:Court>
    <b:URL>http://consultas.funcionjudicial.gob.ec/informacionjudicial/public/informacion.jsf</b:URL>
    <b:RefOrder>685</b:RefOrder>
  </b:Source>
  <b:Source>
    <b:Tag>Pon</b:Tag>
    <b:SourceType>JournalArticle</b:SourceType>
    <b:Guid>{77770BB8-1531-4E00-BB4E-DE51B93B43D4}</b:Guid>
    <b:Title>El Ecuador y el Sistema Interamericano de Protección a los Derechos Humanos: una mirada crítica a la conducta estatal</b:Title>
    <b:Pages>15</b:Pages>
    <b:Author>
      <b:Author>
        <b:NameList>
          <b:Person>
            <b:Last>Ponce Villacís</b:Last>
            <b:First>Alejandro</b:First>
          </b:Person>
        </b:NameList>
      </b:Author>
    </b:Author>
    <b:Publisher>USFQ-Bibloteca </b:Publisher>
    <b:URL>https://www.researchgate.net/publication/321897727_El_Ecuador_y_el_Sistema_Interamericano_de_Proteccion_a_los_Derechos_Humanos_una_mirada_critica_a_la_conducta_estatal/fulltext/5a386b02458515919e71f7b2/El-Ecuador-y-el-Sistema-Interamericano-de-Proteccion-</b:URL>
    <b:RefOrder>686</b:RefOrder>
  </b:Source>
  <b:Source>
    <b:Tag>Alm06</b:Tag>
    <b:SourceType>Case</b:SourceType>
    <b:Guid>{ACC44F1C-BFF0-4916-9076-DC55B76524F4}</b:Guid>
    <b:Title> Almonacid Arellano y otros Vs. Chile </b:Title>
    <b:Year>2006</b:Year>
    <b:Court>Corte Interamericana de Derechos Humanos </b:Court>
    <b:Month>Septiembre</b:Month>
    <b:Day>26</b:Day>
    <b:RefOrder>687</b:RefOrder>
  </b:Source>
  <b:Source>
    <b:Tag>Sag16</b:Tag>
    <b:SourceType>Book</b:SourceType>
    <b:Guid>{15055189-348D-4332-A74E-E22AA1EE975C}</b:Guid>
    <b:Title>La Constitución Bajo Tensión </b:Title>
    <b:Year>2016</b:Year>
    <b:Author>
      <b:Author>
        <b:NameList>
          <b:Person>
            <b:Last>Sagués</b:Last>
            <b:First>Néstor</b:First>
          </b:Person>
        </b:NameList>
      </b:Author>
    </b:Author>
    <b:Publisher>Instituto de Estúdios Constitucionales del Estado de Queretaro </b:Publisher>
    <b:RefOrder>688</b:RefOrder>
  </b:Source>
  <b:Source>
    <b:Tag>CON69</b:Tag>
    <b:SourceType>Misc</b:SourceType>
    <b:Guid>{76DEE53F-13A9-4892-B674-9A9909CF5D91}</b:Guid>
    <b:Author>
      <b:Author>
        <b:Corporate>CONFERENCIA ESPECIALIZADA INTERAMERICANA SOBRE DERECHOS HUMANOS</b:Corporate>
      </b:Author>
    </b:Author>
    <b:Title>Convencion Americana sobre Derechos Humanos </b:Title>
    <b:Year>1969</b:Year>
    <b:City>San José</b:City>
    <b:CountryRegion>Costa Rica </b:CountryRegion>
    <b:RefOrder>689</b:RefOrder>
  </b:Source>
  <b:Source>
    <b:Tag>Cas07</b:Tag>
    <b:SourceType>Case</b:SourceType>
    <b:Guid>{75EFD953-0F38-468E-925C-D753166670AA}</b:Guid>
    <b:Title>Caso Chaparro Álvarez y Lapo Íñiguez vs. Ecuador </b:Title>
    <b:Court>Corte Interamericana de Derechos Humanos </b:Court>
    <b:Year>2007</b:Year>
    <b:Month>Noviembre</b:Month>
    <b:Day>21</b:Day>
    <b:RefOrder>690</b:RefOrder>
  </b:Source>
  <b:Source>
    <b:Tag>MarcadorDePosición37</b:Tag>
    <b:SourceType>Misc</b:SourceType>
    <b:Guid>{43B4CC71-803F-4331-875F-E0DF64A95B46}</b:Guid>
    <b:Title>Constitución de la República </b:Title>
    <b:Year>2008</b:Year>
    <b:Author>
      <b:Author>
        <b:Corporate>Asamable Constituyente </b:Corporate>
      </b:Author>
    </b:Author>
    <b:City>Montecristi </b:City>
    <b:CountryRegion>Ecuador</b:CountryRegion>
    <b:RefOrder>691</b:RefOrder>
  </b:Source>
  <b:Source>
    <b:Tag>13Se</b:Tag>
    <b:SourceType>Case</b:SourceType>
    <b:Guid>{809ABE57-111B-4EE8-9607-04CA7C513B72}</b:Guid>
    <b:Year>2013</b:Year>
    <b:Month>Diciembre</b:Month>
    <b:Day>4</b:Day>
    <b:CaseNumber>1863-12-EP</b:CaseNumber>
    <b:Court>Corte Constitucional del Ecuador</b:Court>
    <b:Title>Sentencia Nro. 111-13-SEP-CC Caso Nro. 1863-12-EP</b:Title>
    <b:RefOrder>692</b:RefOrder>
  </b:Source>
  <b:Source>
    <b:Tag>MarcadorDePosición38</b:Tag>
    <b:SourceType>Case</b:SourceType>
    <b:Guid>{F0A3CB58-18FB-4D2A-967A-CB5E499EB94E}</b:Guid>
    <b:Title>Sentencia Nro. 045-15-SE-CC  Caso Nro. 1055-11-EP</b:Title>
    <b:CaseNumber>1055-11-EP</b:CaseNumber>
    <b:Court>Corte Constitucional del Ecuador </b:Court>
    <b:Year>2015</b:Year>
    <b:Month>Febrero</b:Month>
    <b:Day>25</b:Day>
    <b:RefOrder>693</b:RefOrder>
  </b:Source>
  <b:Source>
    <b:Tag>Sen09</b:Tag>
    <b:SourceType>Case</b:SourceType>
    <b:Guid>{AB94C7F5-CAB4-4A01-9813-4ECD04DD43E1}</b:Guid>
    <b:Title>Sentencia Nro. 002-09-SAN -CC  Caso Nro.  0005-08-AN</b:Title>
    <b:CaseNumber>0005-08-AN</b:CaseNumber>
    <b:Court>Corte Constitucional del Ecuador</b:Court>
    <b:Year>2009</b:Year>
    <b:Month>Abril</b:Month>
    <b:Day>2</b:Day>
    <b:RefOrder>694</b:RefOrder>
  </b:Source>
  <b:Source>
    <b:Tag>Per00</b:Tag>
    <b:SourceType>JournalArticle</b:SourceType>
    <b:Guid>{E0608314-04E0-43A7-A595-E60D5E7BD060}</b:Guid>
    <b:Title>La Seguridad Jurídica: Una Garantía del Derecho y la Justicia. </b:Title>
    <b:Year>2000</b:Year>
    <b:Author>
      <b:Author>
        <b:NameList>
          <b:Person>
            <b:Last>Perez Luño</b:Last>
            <b:First>Antonio</b:First>
          </b:Person>
        </b:NameList>
      </b:Author>
    </b:Author>
    <b:JournalName>Boletin de la Facultad de Derecho-Universidad de Sevilla</b:JournalName>
    <b:Pages>2-14</b:Pages>
    <b:RefOrder>695</b:RefOrder>
  </b:Source>
  <b:Source>
    <b:Tag>Asa12</b:Tag>
    <b:SourceType>Misc</b:SourceType>
    <b:Guid>{F01914CE-ABB2-4149-9F93-8C08D38F23E2}</b:Guid>
    <b:Title>Ley Orgánica de la Función Legislativa</b:Title>
    <b:Year>2012</b:Year>
    <b:Author>
      <b:Author>
        <b:Corporate>Asamblea Nacional.</b:Corporate>
      </b:Author>
    </b:Author>
    <b:City>Quito</b:City>
    <b:StateProvince>Ecuador</b:StateProvince>
    <b:RefOrder>696</b:RefOrder>
  </b:Source>
  <b:Source>
    <b:Tag>Sag06</b:Tag>
    <b:SourceType>JournalArticle</b:SourceType>
    <b:Guid>{C8BF3431-1326-4E07-BCB5-9E0A8384249B}</b:Guid>
    <b:Title>Las Sentencias Constitucionales Exhortativas</b:Title>
    <b:Year>2006</b:Year>
    <b:Author>
      <b:Author>
        <b:NameList>
          <b:Person>
            <b:Last>Sagues</b:Last>
            <b:First>Nestor</b:First>
            <b:Middle>Pedro</b:Middle>
          </b:Person>
        </b:NameList>
      </b:Author>
    </b:Author>
    <b:JournalName>Revista del Centro de Estudios Constitucionales.</b:JournalName>
    <b:RefOrder>697</b:RefOrder>
  </b:Source>
  <b:Source>
    <b:Tag>Var13</b:Tag>
    <b:SourceType>JournalArticle</b:SourceType>
    <b:Guid>{E7D6BD19-5BE0-46C9-B6E7-3B0247DAE4BD}</b:Guid>
    <b:Author>
      <b:Author>
        <b:NameList>
          <b:Person>
            <b:Last>Vargas Barrantes</b:Last>
            <b:First>Élida</b:First>
          </b:Person>
        </b:NameList>
      </b:Author>
    </b:Author>
    <b:Title>Nuevas tendencias en los diseños de investigación cualitativa y su influencia en  la interpretación y  acción educativa</b:Title>
    <b:JournalName>Scielo</b:JournalName>
    <b:Year>2013</b:Year>
    <b:RefOrder>698</b:RefOrder>
  </b:Source>
  <b:Source>
    <b:Tag>Enr20</b:Tag>
    <b:SourceType>JournalArticle</b:SourceType>
    <b:Guid>{C341901A-5C94-44A3-8967-F5DD17ABEE61}</b:Guid>
    <b:Author>
      <b:Author>
        <b:NameList>
          <b:Person>
            <b:Last>Bacigalupo</b:Last>
            <b:First>Enrique</b:First>
          </b:Person>
        </b:NameList>
      </b:Author>
    </b:Author>
    <b:Title>¿Qué es la dogmática? Breves consideraciones sobre la racionalidad de la práctica de las profesiones jurídicas, por Enrique Bacigalupo</b:Title>
    <b:JournalName>FIDE, Law, Economy, Technology</b:JournalName>
    <b:Year>2020</b:Year>
    <b:RefOrder>699</b:RefOrder>
  </b:Source>
  <b:Source>
    <b:Tag>Ler18</b:Tag>
    <b:SourceType>JournalArticle</b:SourceType>
    <b:Guid>{3D39451A-D263-449F-92F7-00E2FE529382}</b:Guid>
    <b:Title>Los Feminismos jyridicos en Argentina</b:Title>
    <b:JournalName>Estudos Feministas</b:JournalName>
    <b:Year>2018</b:Year>
    <b:Pages>1-14</b:Pages>
    <b:Author>
      <b:Author>
        <b:NameList>
          <b:Person>
            <b:Last>Lerussi</b:Last>
            <b:First>Romina</b:First>
          </b:Person>
          <b:Person>
            <b:Last>Costa </b:Last>
            <b:First>Malena</b:First>
          </b:Person>
        </b:NameList>
      </b:Author>
    </b:Author>
    <b:RefOrder>700</b:RefOrder>
  </b:Source>
  <b:Source>
    <b:Tag>DeP01</b:Tag>
    <b:SourceType>Book</b:SourceType>
    <b:Guid>{F0352C99-1E16-4DCC-80B1-1D6606CE484A}</b:Guid>
    <b:Title>La ciudad de las Damas</b:Title>
    <b:Year>2001</b:Year>
    <b:Author>
      <b:Author>
        <b:NameList>
          <b:Person>
            <b:Last>De Pizán </b:Last>
            <b:First>Christine</b:First>
          </b:Person>
        </b:NameList>
      </b:Author>
    </b:Author>
    <b:City>Madrid</b:City>
    <b:RefOrder>701</b:RefOrder>
  </b:Source>
  <b:Source>
    <b:Tag>Aqu98</b:Tag>
    <b:SourceType>Book</b:SourceType>
    <b:Guid>{A064CD54-D15F-4BD3-922A-9EF0DAF2BDB2}</b:Guid>
    <b:Title>Teologia Feminista Latinoamericana</b:Title>
    <b:Year>1998</b:Year>
    <b:City>Quito</b:City>
    <b:Publisher>Abya Yala</b:Publisher>
    <b:Author>
      <b:Author>
        <b:NameList>
          <b:Person>
            <b:Last>Aquino</b:Last>
            <b:First>Maria Pilas</b:First>
          </b:Person>
          <b:Person>
            <b:Last>Tamez</b:Last>
            <b:First>Elsa</b:First>
          </b:Person>
        </b:NameList>
      </b:Author>
    </b:Author>
    <b:RefOrder>702</b:RefOrder>
  </b:Source>
  <b:Source>
    <b:Tag>Min09</b:Tag>
    <b:SourceType>Book</b:SourceType>
    <b:Guid>{3F1BCB22-EBA0-4222-857C-4B0FD2FD697A}</b:Guid>
    <b:Title>En Género en el Derecho</b:Title>
    <b:Year>2009</b:Year>
    <b:City>Quito</b:City>
    <b:Publisher>V&amp;M</b:Publisher>
    <b:Author>
      <b:Author>
        <b:Corporate>Ministerio de Justicia y Derechos Humanos</b:Corporate>
      </b:Author>
    </b:Author>
    <b:RefOrder>703</b:RefOrder>
  </b:Source>
  <b:Source>
    <b:Tag>Gal18</b:Tag>
    <b:SourceType>Book</b:SourceType>
    <b:Guid>{EEA4CF52-07D6-48DC-88D5-2B0322465446}</b:Guid>
    <b:Title>FEMINIDADES Y MASCULINIDADES EN HISTORIA DEL GÉNERO</b:Title>
    <b:Year>2018</b:Year>
    <b:City>Granadas</b:City>
    <b:Publisher>Comares</b:Publisher>
    <b:Author>
      <b:Author>
        <b:NameList>
          <b:Person>
            <b:Last>Gallego</b:Last>
            <b:First>Henar</b:First>
          </b:Person>
        </b:NameList>
      </b:Author>
    </b:Author>
    <b:RefOrder>704</b:RefOrder>
  </b:Source>
  <b:Source>
    <b:Tag>Ávi12</b:Tag>
    <b:SourceType>JournalArticle</b:SourceType>
    <b:Guid>{6F2D67FC-A8E0-4D82-A069-FC44A4C4BA28}</b:Guid>
    <b:Title>Género, derecho y discriminación. Una mirada masculina</b:Title>
    <b:Year>2012</b:Year>
    <b:JournalName>UMBRAL</b:JournalName>
    <b:Pages>136</b:Pages>
    <b:Author>
      <b:Author>
        <b:NameList>
          <b:Person>
            <b:Last>Ávila Santamaría</b:Last>
            <b:First>Ramiro</b:First>
          </b:Person>
        </b:NameList>
      </b:Author>
    </b:Author>
    <b:RefOrder>705</b:RefOrder>
  </b:Source>
  <b:Source>
    <b:Tag>Val04</b:Tag>
    <b:SourceType>JournalArticle</b:SourceType>
    <b:Guid>{2F84C1FA-414B-4A9F-9562-12EEEEC48FC6}</b:Guid>
    <b:Title>Los derechos de las mujeres en la Constitución Política de la República del Ecuador de 1998</b:Title>
    <b:JournalName>FORO</b:JournalName>
    <b:Year>2004</b:Year>
    <b:Pages>55-103</b:Pages>
    <b:Author>
      <b:Author>
        <b:NameList>
          <b:Person>
            <b:Last>Valladares</b:Last>
            <b:First>Lola</b:First>
          </b:Person>
        </b:NameList>
      </b:Author>
    </b:Author>
    <b:RefOrder>706</b:RefOrder>
  </b:Source>
  <b:Source>
    <b:Tag>MarcadorDePosición39</b:Tag>
    <b:SourceType>Book</b:SourceType>
    <b:Guid>{062BBD21-1BC2-49BF-BBFF-C16B671B8EDB}</b:Guid>
    <b:Title>Derechos de las Mujeres en la Nueva Constitución </b:Title>
    <b:Year>2008</b:Year>
    <b:Author>
      <b:Author>
        <b:Corporate>CONAMU</b:Corporate>
      </b:Author>
    </b:Author>
    <b:City>Quito</b:City>
    <b:RefOrder>707</b:RefOrder>
  </b:Source>
  <b:Source>
    <b:Tag>Lam07</b:Tag>
    <b:SourceType>JournalArticle</b:SourceType>
    <b:Guid>{681210C9-3E48-448E-90F5-421A17024768}</b:Guid>
    <b:Title>Géneo Desarrollo y feminismo en America Latina</b:Title>
    <b:JournalName>Pensamiento Iberoamericano</b:JournalName>
    <b:Year>2007</b:Year>
    <b:Pages>133-152</b:Pages>
    <b:Author>
      <b:Author>
        <b:NameList>
          <b:Person>
            <b:Last>Lamas</b:Last>
            <b:First>Marta</b:First>
          </b:Person>
        </b:NameList>
      </b:Author>
    </b:Author>
    <b:RefOrder>708</b:RefOrder>
  </b:Source>
  <b:Source>
    <b:Tag>Caj11</b:Tag>
    <b:SourceType>JournalArticle</b:SourceType>
    <b:Guid>{791D9B10-C633-4BAB-AEBD-27FA5E4286FE}</b:Guid>
    <b:Title>Igualdad de Género en la Constitución de 2008</b:Title>
    <b:JournalName>FORO</b:JournalName>
    <b:Year>2011</b:Year>
    <b:Pages>139-179</b:Pages>
    <b:Author>
      <b:Author>
        <b:NameList>
          <b:Person>
            <b:Last>Cajas</b:Last>
            <b:First>Andrea</b:First>
          </b:Person>
        </b:NameList>
      </b:Author>
    </b:Author>
    <b:RefOrder>709</b:RefOrder>
  </b:Source>
  <b:Source>
    <b:Tag>MarcadorDePosición40</b:Tag>
    <b:SourceType>JournalArticle</b:SourceType>
    <b:Guid>{B53C694B-4F86-4925-824E-EBC941A9FFBC}</b:Guid>
    <b:Title>La mayoría de las formas de entender ¿Una mirada masculina? </b:Title>
    <b:Year>2012</b:Year>
    <b:JournalName>UMBRAL</b:JournalName>
    <b:Pages>131-169</b:Pages>
    <b:Author>
      <b:Author>
        <b:NameList>
          <b:Person>
            <b:Last>Ávila Santamaría</b:Last>
            <b:First>Ramiro</b:First>
          </b:Person>
        </b:NameList>
      </b:Author>
    </b:Author>
    <b:RefOrder>710</b:RefOrder>
  </b:Source>
  <b:Source>
    <b:Tag>Váz12</b:Tag>
    <b:SourceType>JournalArticle</b:SourceType>
    <b:Guid>{1462129F-FC3D-4D9A-BA61-D33FA430360A}</b:Guid>
    <b:Title>La actoria transfemisnita en el proceso constituyente y posconstituyente en el Ecuador</b:Title>
    <b:JournalName>UMBRAL</b:JournalName>
    <b:Year>2012</b:Year>
    <b:Author>
      <b:Author>
        <b:NameList>
          <b:Person>
            <b:Last>Vázquez</b:Last>
            <b:First>Elizabeth</b:First>
          </b:Person>
        </b:NameList>
      </b:Author>
    </b:Author>
    <b:RefOrder>711</b:RefOrder>
  </b:Source>
  <b:Source>
    <b:Tag>Ros08</b:Tag>
    <b:SourceType>JournalArticle</b:SourceType>
    <b:Guid>{2F65C0DB-DD6D-4C5E-B82A-BE15E15EB592}</b:Guid>
    <b:Title>Los derechos de las mujeres en la constitución del 2008</b:Title>
    <b:Year>2008</b:Year>
    <b:JournalName>La Tendencia</b:JournalName>
    <b:Author>
      <b:Author>
        <b:NameList>
          <b:Person>
            <b:Last>Rosero</b:Last>
            <b:First>Rocio</b:First>
          </b:Person>
          <b:Person>
            <b:Last>Goyes</b:Last>
            <b:First>Solanda</b:First>
          </b:Person>
        </b:NameList>
      </b:Author>
    </b:Author>
    <b:RefOrder>712</b:RefOrder>
  </b:Source>
  <b:Source>
    <b:Tag>Gil11</b:Tag>
    <b:SourceType>JournalArticle</b:SourceType>
    <b:Guid>{404BEA4D-06E8-444C-8F6D-1FAB721CCF10}</b:Guid>
    <b:Title>El Neoconstitucionalismo y los Derechos Funadmentales</b:Title>
    <b:JournalName>Instituto de Investigaciones Juridicas Uman</b:JournalName>
    <b:Year>2011</b:Year>
    <b:Pages>43-61</b:Pages>
    <b:Author>
      <b:Author>
        <b:NameList>
          <b:Person>
            <b:Last>Gil</b:Last>
            <b:First>Raymundo</b:First>
          </b:Person>
        </b:NameList>
      </b:Author>
    </b:Author>
    <b:RefOrder>713</b:RefOrder>
  </b:Source>
  <b:Source>
    <b:Tag>Buc14</b:Tag>
    <b:SourceType>JournalArticle</b:SourceType>
    <b:Guid>{8C79A287-BED2-49F3-B734-94688F2B6A52}</b:Guid>
    <b:Title>Género y Constitucionalismo: Una mirada feminista al derecho constitucional colombiano</b:Title>
    <b:JournalName>Ciencia Política</b:JournalName>
    <b:Year>2014</b:Year>
    <b:Author>
      <b:Author>
        <b:NameList>
          <b:Person>
            <b:Last>Buchely</b:Last>
            <b:First>Lina</b:First>
          </b:Person>
        </b:NameList>
      </b:Author>
    </b:Author>
    <b:RefOrder>714</b:RefOrder>
  </b:Source>
  <b:Source>
    <b:Tag>Mon06</b:Tag>
    <b:SourceType>JournalArticle</b:SourceType>
    <b:Guid>{C18B9D2D-2FA8-44AB-B881-5947016E6524}</b:Guid>
    <b:Title>Reformas Constitucionales y equidad de género</b:Title>
    <b:JournalName>Seminarios y Conferencias</b:JournalName>
    <b:Year>2006</b:Year>
    <b:Author>
      <b:Author>
        <b:NameList>
          <b:Person>
            <b:Last>Montaño</b:Last>
            <b:First>Sonia</b:First>
          </b:Person>
          <b:Person>
            <b:Last>Aranda</b:Last>
            <b:First>Verónica</b:First>
          </b:Person>
        </b:NameList>
      </b:Author>
    </b:Author>
    <b:RefOrder>715</b:RefOrder>
  </b:Source>
  <b:Source>
    <b:Tag>Mol12</b:Tag>
    <b:SourceType>JournalArticle</b:SourceType>
    <b:Guid>{24F2E538-B459-40D5-9512-F02A61AEBED5}</b:Guid>
    <b:Title>Género y ciudadanía en América Latina: cuestiones historicas y contemporaneas</b:Title>
    <b:Year>2012</b:Year>
    <b:City>Mexico D.F</b:City>
    <b:JournalName>Debate Feminista</b:JournalName>
    <b:Author>
      <b:Author>
        <b:NameList>
          <b:Person>
            <b:Last>Molyneux</b:Last>
            <b:First>Maxine</b:First>
          </b:Person>
        </b:NameList>
      </b:Author>
    </b:Author>
    <b:Volume>23</b:Volume>
    <b:RefOrder>716</b:RefOrder>
  </b:Source>
  <b:Source>
    <b:Tag>Bob10</b:Tag>
    <b:SourceType>Book</b:SourceType>
    <b:Guid>{306C1A95-A7F6-4CA9-87E1-F2EA026572F5}</b:Guid>
    <b:Title>La naturaleza de los prejuicios. Racismo hoy. Iguales y Diferentes</b:Title>
    <b:Year>2010</b:Year>
    <b:Author>
      <b:Author>
        <b:NameList>
          <b:Person>
            <b:Last>Bobbio</b:Last>
            <b:First>Norberto</b:First>
          </b:Person>
        </b:NameList>
      </b:Author>
    </b:Author>
    <b:RefOrder>717</b:RefOrder>
  </b:Source>
  <b:Source>
    <b:Tag>Mee08</b:Tag>
    <b:SourceType>JournalArticle</b:SourceType>
    <b:Guid>{866265B9-65BE-4EA2-BAC3-35EB9B7C6355}</b:Guid>
    <b:Title>Discrimianción racial, desplazamiento y género en las sentencia de la Corte onstitucional. el Racismo Cotidiano en el banquillo</b:Title>
    <b:Year>2008</b:Year>
    <b:JournalName>Universitas Humanísticas</b:JournalName>
    <b:Author>
      <b:Author>
        <b:NameList>
          <b:Person>
            <b:Last>Meertens</b:Last>
            <b:First>Donny</b:First>
          </b:Person>
        </b:NameList>
      </b:Author>
    </b:Author>
    <b:RefOrder>718</b:RefOrder>
  </b:Source>
  <b:Source>
    <b:Tag>Gar19</b:Tag>
    <b:SourceType>JournalArticle</b:SourceType>
    <b:Guid>{B5E99D09-4F89-4139-97B9-7306B4D2F2FC}</b:Guid>
    <b:Title>El rol del derecho en la construcción de identidades de género; replnateando el analisis de género desde los aportes de a teoria critica</b:Title>
    <b:Year>2019</b:Year>
    <b:City>Quito</b:City>
    <b:JournalName>FORO</b:JournalName>
    <b:Author>
      <b:Author>
        <b:NameList>
          <b:Person>
            <b:Last>Garbay</b:Last>
            <b:First>Susy</b:First>
          </b:Person>
        </b:NameList>
      </b:Author>
    </b:Author>
    <b:RefOrder>719</b:RefOrder>
  </b:Source>
  <b:Source>
    <b:Tag>Esq13</b:Tag>
    <b:SourceType>BookSection</b:SourceType>
    <b:Guid>{36E34C88-3F25-4B9A-96D9-930D6BFB5C27}</b:Guid>
    <b:Title>El reconocimiento de las mujeres como sujetos jurídico -político en la Ley de Igualdad</b:Title>
    <b:Year>2017</b:Year>
    <b:Pages>91-117</b:Pages>
    <b:BookTitle>El Derecho a la igualdad efectiva entre mujeres y hombres</b:BookTitle>
    <b:City>Alicante</b:City>
    <b:Author>
      <b:Author>
        <b:NameList>
          <b:Person>
            <b:Last>Esquembre</b:Last>
            <b:First>Mar</b:First>
          </b:Person>
        </b:NameList>
      </b:Author>
    </b:Author>
    <b:RefOrder>720</b:RefOrder>
  </b:Source>
  <b:Source>
    <b:Tag>Bur20</b:Tag>
    <b:SourceType>JournalArticle</b:SourceType>
    <b:Guid>{270DC41C-4FEA-4D38-837B-8E85BC3529DB}</b:Guid>
    <b:Title>El horizonte de la colaboración crítica: la gobernanza feminista y las negociaciones movimiento-estado en El Salvador</b:Title>
    <b:JournalName>Latin America Perspectives</b:JournalName>
    <b:Year>2020</b:Year>
    <b:Author>
      <b:Author>
        <b:NameList>
          <b:Person>
            <b:Last>Burridge</b:Last>
            <b:First>Daniel </b:First>
          </b:Person>
        </b:NameList>
      </b:Author>
    </b:Author>
    <b:Pages>23-36</b:Pages>
    <b:RefOrder>721</b:RefOrder>
  </b:Source>
  <b:Source>
    <b:Tag>Val18</b:Tag>
    <b:SourceType>Book</b:SourceType>
    <b:Guid>{30CF1E97-7EC7-45A5-9272-7B2C28576D49}</b:Guid>
    <b:Title>Feminismo en el mundo Global</b:Title>
    <b:Year>2018</b:Year>
    <b:City>Madrid</b:City>
    <b:Publisher>Catedra</b:Publisher>
    <b:Author>
      <b:Author>
        <b:NameList>
          <b:Person>
            <b:Last>Valcárcel</b:Last>
            <b:First>Amelia</b:First>
          </b:Person>
        </b:NameList>
      </b:Author>
    </b:Author>
    <b:RefOrder>722</b:RefOrder>
  </b:Source>
  <b:Source>
    <b:Tag>Rod17</b:Tag>
    <b:SourceType>Book</b:SourceType>
    <b:Guid>{8383ACDD-FA95-4B62-BB7D-931E2D699998}</b:Guid>
    <b:Title>Género y Constitución</b:Title>
    <b:Year>2017</b:Year>
    <b:City>Lisboa</b:City>
    <b:Publisher>Jurua</b:Publisher>
    <b:Author>
      <b:Author>
        <b:NameList>
          <b:Person>
            <b:Last>Rodriguez</b:Last>
            <b:First>Blanca</b:First>
          </b:Person>
        </b:NameList>
      </b:Author>
    </b:Author>
    <b:RefOrder>723</b:RefOrder>
  </b:Source>
  <b:Source>
    <b:Tag>Mar14</b:Tag>
    <b:SourceType>Misc</b:SourceType>
    <b:Guid>{199E291A-5A36-42E0-91E3-352F50163700}</b:Guid>
    <b:Title>Concepto de Género: De las teorias feministas a las políticas públicas</b:Title>
    <b:Year>2014</b:Year>
    <b:City>Salamanca</b:City>
    <b:Author>
      <b:Author>
        <b:NameList>
          <b:Person>
            <b:Last>Martín </b:Last>
            <b:First>Sara</b:First>
          </b:Person>
        </b:NameList>
      </b:Author>
    </b:Author>
    <b:RefOrder>724</b:RefOrder>
  </b:Source>
  <b:Source>
    <b:Tag>MarcadorDePosición41</b:Tag>
    <b:SourceType>JournalArticle</b:SourceType>
    <b:Guid>{2E350624-FD38-425F-A1E8-B3A47BAC765E}</b:Guid>
    <b:Title>Maternidad Subrogada</b:Title>
    <b:Year>2019</b:Year>
    <b:Author>
      <b:Author>
        <b:NameList>
          <b:Person>
            <b:Last>Maciel</b:Last>
            <b:First>Vanessa</b:First>
          </b:Person>
        </b:NameList>
      </b:Author>
    </b:Author>
    <b:JournalName>De Iure Revista Jurídica</b:JournalName>
    <b:RefOrder>725</b:RefOrder>
  </b:Source>
  <b:Source>
    <b:Tag>Cub13</b:Tag>
    <b:SourceType>Book</b:SourceType>
    <b:Guid>{8AA7A259-69BA-4BDD-847D-6B7AD3D3A421}</b:Guid>
    <b:Title>Técnicas de Reproducción Asistida</b:Title>
    <b:Year>2013</b:Year>
    <b:City>Mendoza</b:City>
    <b:Author>
      <b:Author>
        <b:NameList>
          <b:Person>
            <b:Last>Cubillos</b:Last>
            <b:Middle>Manuel</b:Middle>
            <b:First>Juan</b:First>
          </b:Person>
        </b:NameList>
      </b:Author>
    </b:Author>
    <b:RefOrder>726</b:RefOrder>
  </b:Source>
  <b:Source>
    <b:Tag>Vit19</b:Tag>
    <b:SourceType>Book</b:SourceType>
    <b:Guid>{63780190-33E1-4EBD-A291-EB184E175AA4}</b:Guid>
    <b:Title>Problemas jurídicos derivados de la maternidad subrogada en el Ecuador</b:Title>
    <b:Year>2019</b:Year>
    <b:City>Quito</b:City>
    <b:Author>
      <b:Author>
        <b:NameList>
          <b:Person>
            <b:Last>Viteri</b:Last>
            <b:Middle>Fernanda</b:Middle>
            <b:First>María</b:First>
          </b:Person>
        </b:NameList>
      </b:Author>
    </b:Author>
    <b:RefOrder>727</b:RefOrder>
  </b:Source>
  <b:Source>
    <b:Tag>Rei82</b:Tag>
    <b:SourceType>Book</b:SourceType>
    <b:Guid>{370F97C2-89AF-4577-8C27-47F70FACF45D}</b:Guid>
    <b:Author>
      <b:Author>
        <b:Corporate>Comisión de Investigación sobre Fecundación y Embriología Humana</b:Corporate>
      </b:Author>
    </b:Author>
    <b:Year>1984</b:Year>
    <b:City>Londres</b:City>
    <b:Publisher>Comisión de investigacion sobre fecundación y embriología humana</b:Publisher>
    <b:Title>Informe Warnock</b:Title>
    <b:RefOrder>728</b:RefOrder>
  </b:Source>
  <b:Source>
    <b:Tag>MarcadorDePosición42</b:Tag>
    <b:SourceType>Book</b:SourceType>
    <b:Guid>{22BE7FC2-0229-41CF-A50F-C71480CD3485}</b:Guid>
    <b:Author>
      <b:Author>
        <b:NameList>
          <b:Person>
            <b:Last>Arias</b:Last>
            <b:First>Fidias</b:First>
            <b:Middle>G.</b:Middle>
          </b:Person>
        </b:NameList>
      </b:Author>
    </b:Author>
    <b:Title>El proyecto de investigacion, introduccion a la metodologia cientifica</b:Title>
    <b:Year>2012</b:Year>
    <b:Publisher>Episteme</b:Publisher>
    <b:Edition>6ª edicion</b:Edition>
    <b:RefOrder>729</b:RefOrder>
  </b:Source>
  <b:Source>
    <b:Tag>Men10</b:Tag>
    <b:SourceType>Book</b:SourceType>
    <b:Guid>{033925B8-3099-46E8-8EB6-4DCD0A901037}</b:Guid>
    <b:Author>
      <b:Author>
        <b:NameList>
          <b:Person>
            <b:Last>Mendez</b:Last>
            <b:First>C.</b:First>
          </b:Person>
        </b:NameList>
      </b:Author>
    </b:Author>
    <b:Title>Metodología. Diseño y Desarrollo del Proceso de Investigación.</b:Title>
    <b:Year>2010</b:Year>
    <b:City>Bogotá. Colombia.</b:City>
    <b:Publisher>Editorial Mc Graw Hill.</b:Publisher>
    <b:RefOrder>730</b:RefOrder>
  </b:Source>
  <b:Source>
    <b:Tag>Her10</b:Tag>
    <b:SourceType>Book</b:SourceType>
    <b:Guid>{73E31CAE-B8A0-46E3-900B-9351A40D0B6C}</b:Guid>
    <b:Author>
      <b:Author>
        <b:NameList>
          <b:Person>
            <b:Last>Hernández Sampieri</b:Last>
            <b:First>R.,</b:First>
            <b:Middle>Fernández Collado, C. y Baptista Lucio, P.</b:Middle>
          </b:Person>
        </b:NameList>
      </b:Author>
    </b:Author>
    <b:Title>Metodología de la Investigación.</b:Title>
    <b:Year>2010</b:Year>
    <b:City>Mexico</b:City>
    <b:Publisher>Mc Graw Hill</b:Publisher>
    <b:RefOrder>731</b:RefOrder>
  </b:Source>
  <b:Source>
    <b:Tag>1310</b:Tag>
    <b:SourceType>Case</b:SourceType>
    <b:Guid>{AAE2DA6E-91F2-45EF-83DE-48C5CD950D6C}</b:Guid>
    <b:Year>2013</b:Year>
    <b:CaseNumber>102-13-SEP-CC</b:CaseNumber>
    <b:Month>12</b:Month>
    <b:Day>04</b:Day>
    <b:Title>Corte Consitucional</b:Title>
    <b:RefOrder>732</b:RefOrder>
  </b:Source>
  <b:Source>
    <b:Tag>Qui20</b:Tag>
    <b:SourceType>Book</b:SourceType>
    <b:Guid>{EAE7A21C-77D2-4146-9346-FB9B2DDD092F}</b:Guid>
    <b:LCID>es-EC</b:LCID>
    <b:Author>
      <b:Author>
        <b:NameList>
          <b:Person>
            <b:Last>Quintana</b:Last>
            <b:First>Ismael</b:First>
          </b:Person>
        </b:NameList>
      </b:Author>
    </b:Author>
    <b:Title>La Acción de Protección</b:Title>
    <b:Year>2020</b:Year>
    <b:City>Quito</b:City>
    <b:Publisher>Corporación Estudios y Publicaciones</b:Publisher>
    <b:RefOrder>733</b:RefOrder>
  </b:Source>
  <b:Source>
    <b:Tag>MarcadorDePosición43</b:Tag>
    <b:SourceType>JournalArticle</b:SourceType>
    <b:Guid>{BD70B37B-6F4D-4FFE-9962-43F4265396C6}</b:Guid>
    <b:Author>
      <b:Author>
        <b:NameList>
          <b:Person>
            <b:Last>Hernandez</b:Last>
            <b:First>Veronica,</b:First>
          </b:Person>
        </b:NameList>
      </b:Author>
    </b:Author>
    <b:Title>El test de motivación de la Corte Consitucional del Ecuador</b:Title>
    <b:JournalName>YACHANA</b:JournalName>
    <b:Year>2018</b:Year>
    <b:Volume>VII</b:Volume>
    <b:YearAccessed>2016</b:YearAccessed>
    <b:URL>http://revistas.ulvr.edu.ec/index.php/yachana/article/view/518</b:URL>
    <b:DOI>https://doi.org/10.1234/ych.v7i1.518</b:DOI>
    <b:RefOrder>734</b:RefOrder>
  </b:Source>
  <b:Source>
    <b:Tag>Oya16</b:Tag>
    <b:SourceType>Book</b:SourceType>
    <b:Guid>{546D0A7B-B04C-4110-88C6-6A62342CD4E2}</b:Guid>
    <b:Title>Debido Proceso</b:Title>
    <b:Year>2016</b:Year>
    <b:Author>
      <b:Author>
        <b:NameList>
          <b:Person>
            <b:Last>Oyarte</b:Last>
            <b:First>Rafael</b:First>
          </b:Person>
        </b:NameList>
      </b:Author>
    </b:Author>
    <b:City>Quito</b:City>
    <b:Publisher>Corporacion de Estudios y Publicaciones</b:Publisher>
    <b:RefOrder>735</b:RefOrder>
  </b:Source>
  <b:Source>
    <b:Tag>1912</b:Tag>
    <b:SourceType>Case</b:SourceType>
    <b:Guid>{122182FD-849D-473A-ADB7-B46E5DE02594}</b:Guid>
    <b:Year>2019</b:Year>
    <b:Month>Septiembre</b:Month>
    <b:Day>4</b:Day>
    <b:CaseNumber>1285-13-EP</b:CaseNumber>
    <b:Court>Corte Constitucional</b:Court>
    <b:Title>Sentencia No. 1285-13-EP</b:Title>
    <b:RefOrder>736</b:RefOrder>
  </b:Source>
  <b:Source>
    <b:Tag>Asa09</b:Tag>
    <b:SourceType>Book</b:SourceType>
    <b:Guid>{F5B0C435-903B-4470-9674-F1C1F112F44D}</b:Guid>
    <b:Title>Ley Orgánica de Garantías Jurisdiccionales y Control Consititucional</b:Title>
    <b:Year>2009</b:Year>
    <b:City>Quito</b:City>
    <b:Author>
      <b:Author>
        <b:NameList>
          <b:Person>
            <b:Last>Asamblea</b:Last>
            <b:First>Nacional</b:First>
          </b:Person>
        </b:NameList>
      </b:Author>
    </b:Author>
    <b:YearAccessed>2021</b:YearAccessed>
    <b:MonthAccessed>2</b:MonthAccessed>
    <b:DayAccessed>18</b:DayAccessed>
    <b:URL>https://www.defensa.gob.ec/wp-content/uploads/downloads/2020/03/Ley-Organica-de-Garantias-Jurisdiccionales-y-Control-Constitucional_act_marzo_2020.pdf</b:URL>
    <b:RefOrder>737</b:RefOrder>
  </b:Source>
  <b:Source>
    <b:Tag>Chá18</b:Tag>
    <b:SourceType>DocumentFromInternetSite</b:SourceType>
    <b:Guid>{E99A3E5F-F127-44F1-89AF-5F324CAA428E}</b:Guid>
    <b:Title>Enfoque Arguemtativo de Manuel Atienza y la teoría estándar</b:Title>
    <b:Year>2018</b:Year>
    <b:Author>
      <b:Author>
        <b:NameList>
          <b:Person>
            <b:Last>Chávez</b:Last>
            <b:First>José</b:First>
          </b:Person>
        </b:NameList>
      </b:Author>
    </b:Author>
    <b:Month>09</b:Month>
    <b:Day>3</b:Day>
    <b:YearAccessed>2021</b:YearAccessed>
    <b:MonthAccessed>2</b:MonthAccessed>
    <b:DayAccessed>18</b:DayAccessed>
    <b:URL>http://www.scielo.org.mx/scielo.php?script=sci_arttext&amp;pid=S2007-43872019000100129&amp;lng=es&amp;nrm=iso</b:URL>
    <b:InternetSiteTitle>Scielo</b:InternetSiteTitle>
    <b:RefOrder>738</b:RefOrder>
  </b:Source>
  <b:Source>
    <b:Tag>Ber10</b:Tag>
    <b:SourceType>Book</b:SourceType>
    <b:Guid>{EE927287-1B3A-4532-BFF9-EDBFDA1D0611}</b:Guid>
    <b:Author>
      <b:Author>
        <b:NameList>
          <b:Person>
            <b:Last>Bernal</b:Last>
            <b:First>C</b:First>
          </b:Person>
        </b:NameList>
      </b:Author>
    </b:Author>
    <b:Title>Metodología de la Investigación</b:Title>
    <b:Year>2010</b:Year>
    <b:City>Bogotá</b:City>
    <b:Publisher>Pearson</b:Publisher>
    <b:RefOrder>739</b:RefOrder>
  </b:Source>
  <b:Source>
    <b:Tag>MarcadorDePosición44</b:Tag>
    <b:SourceType>Case</b:SourceType>
    <b:Guid>{9BE3B225-D183-46EA-8B62-D53EFCB94276}</b:Guid>
    <b:Title>Caso No. 001-16-PJO-CC</b:Title>
    <b:Year>2016</b:Year>
    <b:CaseNumber>001-16-PJO-CC</b:CaseNumber>
    <b:Court>Corte Constitucional</b:Court>
    <b:Month>03</b:Month>
    <b:Day>22</b:Day>
    <b:RefOrder>740</b:RefOrder>
  </b:Source>
  <b:Source>
    <b:Tag>Vin21</b:Tag>
    <b:SourceType>Book</b:SourceType>
    <b:Guid>{A25AF7E8-B4AC-435E-9D24-6562D97F4C54}</b:Guid>
    <b:Title>Las Garanatias Jurisdiccionales en Ecuador</b:Title>
    <b:Year>2021</b:Year>
    <b:Month>Marzo</b:Month>
    <b:Day>1</b:Day>
    <b:Author>
      <b:Author>
        <b:NameList>
          <b:Person>
            <b:Last>Vinueza</b:Last>
            <b:First>Paul</b:First>
            <b:Middle>Cordova</b:Middle>
          </b:Person>
        </b:NameList>
      </b:Author>
    </b:Author>
    <b:City>Quito</b:City>
    <b:CountryRegion>Ecuador</b:CountryRegion>
    <b:Publisher>Corporaciòn de Estudios y Publicaciones</b:Publisher>
    <b:RefOrder>741</b:RefOrder>
  </b:Source>
  <b:Source>
    <b:Tag>Ala13</b:Tag>
    <b:SourceType>Book</b:SourceType>
    <b:Guid>{D3B342D3-A366-478D-AB3A-DE71861BC9AF}</b:Guid>
    <b:Author>
      <b:Author>
        <b:NameList>
          <b:Person>
            <b:Last>Alarcón Peña</b:Last>
            <b:First>Pablo</b:First>
            <b:Middle>Andrés</b:Middle>
          </b:Person>
        </b:NameList>
      </b:Author>
    </b:Author>
    <b:Title>La ordinarizacion de la acción de protección</b:Title>
    <b:Year>2013</b:Year>
    <b:City>Quito</b:City>
    <b:Publisher>Corporación Editora Nacional</b:Publisher>
    <b:RefOrder>742</b:RefOrder>
  </b:Source>
  <b:Source>
    <b:Tag>MarcadorDePosición45</b:Tag>
    <b:SourceType>Book</b:SourceType>
    <b:Guid>{4E64C731-E301-44BE-BF02-494688817B81}</b:Guid>
    <b:Title>Constitución del Ecuador</b:Title>
    <b:Year>2008</b:Year>
    <b:City>Monte Cristi</b:City>
    <b:Publisher>Asamblea Nacional Consituyente</b:Publisher>
    <b:URL>https://www.asambleanacional.gob.ec/sites/default/files/documents/old/constitucion_de_bolsillo.pdf</b:URL>
    <b:Author>
      <b:Author>
        <b:NameList>
          <b:Person>
            <b:Last>Constituyente</b:Last>
            <b:First>Asamblea</b:First>
            <b:Middle>Nacional</b:Middle>
          </b:Person>
        </b:NameList>
      </b:Author>
    </b:Author>
    <b:RefOrder>743</b:RefOrder>
  </b:Source>
  <b:Source>
    <b:Tag>Nar20</b:Tag>
    <b:SourceType>JournalArticle</b:SourceType>
    <b:Guid>{ECEA6F70-E0C9-4043-980A-239229AD33E7}</b:Guid>
    <b:Author>
      <b:Author>
        <b:NameList>
          <b:Person>
            <b:Last>Naranjo</b:Last>
            <b:First>Viviana</b:First>
            <b:Middle>Morales</b:Middle>
          </b:Person>
        </b:NameList>
      </b:Author>
    </b:Author>
    <b:Title>Consultas populares y referendos constitucionales sobre la protección a la naturaleza: la eficacia de la democracia directa en Ecuador</b:Title>
    <b:JournalName>Democracias</b:JournalName>
    <b:Year>2020</b:Year>
    <b:Pages>115-142</b:Pages>
    <b:Volume>8</b:Volume>
    <b:URL>http://institutodemocracia.gob.ec/wp-content/uploads/2020/08/consultas_populares.pdf</b:URL>
    <b:DOI>1390-826X</b:DOI>
    <b:RefOrder>744</b:RefOrder>
  </b:Source>
  <b:Source>
    <b:Tag>Bet21</b:Tag>
    <b:SourceType>JournalArticle</b:SourceType>
    <b:Guid>{0A6F5661-FB0B-4C0B-B4B8-C3F304474B1A}</b:Guid>
    <b:Title>La democracia necesita de las humanidades</b:Title>
    <b:JournalName>ALEPH</b:JournalName>
    <b:Year>2021</b:Year>
    <b:Pages>121</b:Pages>
    <b:Author>
      <b:Author>
        <b:NameList>
          <b:Person>
            <b:Last>Betancur García</b:Last>
            <b:First>Marta</b:First>
            <b:Middle>Cecilia</b:Middle>
          </b:Person>
        </b:NameList>
      </b:Author>
    </b:Author>
    <b:RefOrder>745</b:RefOrder>
  </b:Source>
  <b:Source>
    <b:Tag>Vel20</b:Tag>
    <b:SourceType>JournalArticle</b:SourceType>
    <b:Guid>{E41F61A6-E435-4EAB-9680-4AE55619C6DB}</b:Guid>
    <b:Title>La democracia en cuestión: ¿Un modelo agotado?</b:Title>
    <b:Year>2020</b:Year>
    <b:Author>
      <b:Author>
        <b:NameList>
          <b:Person>
            <b:Last>Velásquez Ramírez</b:Last>
            <b:First>Ricardo</b:First>
          </b:Person>
        </b:NameList>
      </b:Author>
    </b:Author>
    <b:JournalName>Universidad Inca Garcilaso de la Vega Nuevos tiempos. Nuevas ideas.</b:JournalName>
    <b:URL>http://repositorio.uigv.edu.pe/handle/20.500.11818/5144</b:URL>
    <b:RefOrder>746</b:RefOrder>
  </b:Source>
  <b:Source>
    <b:Tag>Mor18</b:Tag>
    <b:SourceType>JournalArticle</b:SourceType>
    <b:Guid>{3CB086D9-BFE3-49FA-BE40-8F5F697BFE26}</b:Guid>
    <b:Title>La democracia directa y el gobierno de los jueces constitucionales.</b:Title>
    <b:JournalName>USFQ Law Review</b:JournalName>
    <b:Year>2018</b:Year>
    <b:Pages>158-176</b:Pages>
    <b:Author>
      <b:Author>
        <b:NameList>
          <b:Person>
            <b:Last>Morales Solis </b:Last>
            <b:First>Ana Belén </b:First>
          </b:Person>
        </b:NameList>
      </b:Author>
    </b:Author>
    <b:Volume>5</b:Volume>
    <b:Issue>1</b:Issue>
    <b:RefOrder>747</b:RefOrder>
  </b:Source>
  <b:Source>
    <b:Tag>Wel17</b:Tag>
    <b:SourceType>JournalArticle</b:SourceType>
    <b:Guid>{5D9FF832-582F-43E8-A265-2B5A70ABDE17}</b:Guid>
    <b:Author>
      <b:Author>
        <b:NameList>
          <b:Person>
            <b:Last>Welp</b:Last>
            <b:First>Yanina</b:First>
          </b:Person>
        </b:NameList>
      </b:Author>
    </b:Author>
    <b:Title>Consulta popular a la madrileña</b:Title>
    <b:JournalName>Center for Democracy Studies Universidad de Zurich</b:JournalName>
    <b:Year>2017</b:Year>
    <b:URL>http://www.swissinfo.ch/democraciadirecta/punto-de-vista_consultapopular-a-la-madrile%C3%B1a/43034642</b:URL>
    <b:RefOrder>748</b:RefOrder>
  </b:Source>
  <b:Source>
    <b:Tag>Sof20</b:Tag>
    <b:SourceType>JournalArticle</b:SourceType>
    <b:Guid>{4811B860-E50B-4760-A7F9-C6BA2146DF11}</b:Guid>
    <b:Author>
      <b:Author>
        <b:NameList>
          <b:Person>
            <b:Last>Ayala</b:Last>
            <b:First>Sofía</b:First>
            <b:Middle>Velasco</b:Middle>
          </b:Person>
        </b:NameList>
      </b:Author>
    </b:Author>
    <b:Title>Ciudadanía versus Ejecutivo: El uso de la consulta popular en Ecuador</b:Title>
    <b:JournalName>Revista del Instituto de la Democracia</b:JournalName>
    <b:Year>2020</b:Year>
    <b:Pages>83-114</b:Pages>
    <b:City>Quito </b:City>
    <b:Month>Agosto</b:Month>
    <b:Volume>8</b:Volume>
    <b:URL>http://institutodemocracia.gob.ec/wp-content/uploads/2020/08/ciudadania_versus.pdf</b:URL>
    <b:DOI>ISSN: 1390-826X</b:DOI>
    <b:RefOrder>749</b:RefOrder>
  </b:Source>
  <b:Source>
    <b:Tag>Bah20</b:Tag>
    <b:SourceType>BookSection</b:SourceType>
    <b:Guid>{8055BB1A-499A-4022-BEC5-B70D8CD34560}</b:Guid>
    <b:Title>Ecuador: la consulta popular, entre lo ciudadano y lo político</b:Title>
    <b:Year>2020</b:Year>
    <b:City>Lima</b:City>
    <b:Publisher>Pontificia Universidad Católica del Perú</b:Publisher>
    <b:Pages>207-235</b:Pages>
    <b:Author>
      <b:Author>
        <b:NameList>
          <b:Person>
            <b:Last>Pozo Bahamonde</b:Last>
            <b:First>Juan</b:First>
            <b:Middle>Pablo</b:Middle>
          </b:Person>
        </b:NameList>
      </b:Author>
      <b:BookAuthor>
        <b:NameList>
          <b:Person>
            <b:Last>Tuesta Soldevilla</b:Last>
            <b:First>Fernando </b:First>
          </b:Person>
          <b:Person>
            <b:Last>Welp</b:Last>
            <b:First>Yanina</b:First>
          </b:Person>
        </b:NameList>
      </b:BookAuthor>
    </b:Author>
    <b:BookTitle>El diablo está en los detalles</b:BookTitle>
    <b:RefOrder>750</b:RefOrder>
  </b:Source>
  <b:Source>
    <b:Tag>Rod18</b:Tag>
    <b:SourceType>InternetSite</b:SourceType>
    <b:Guid>{9FF3A67A-BCDB-4182-8E23-C9CADE0336CF}</b:Guid>
    <b:Title>Caja Negra </b:Title>
    <b:Year>2018</b:Year>
    <b:Author>
      <b:Author>
        <b:NameList>
          <b:Person>
            <b:Last>Espinoza</b:Last>
            <b:First>Rodney</b:First>
          </b:Person>
        </b:NameList>
      </b:Author>
    </b:Author>
    <b:InternetSiteTitle>Caja Negra </b:InternetSiteTitle>
    <b:Month>Enero </b:Month>
    <b:Day>28</b:Day>
    <b:URL>http://lacajanegra.com.ec/consultas-populares-en-la-historia-del-ecuador/</b:URL>
    <b:RefOrder>751</b:RefOrder>
  </b:Source>
  <b:Source>
    <b:Tag>Car11</b:Tag>
    <b:SourceType>JournalArticle</b:SourceType>
    <b:Guid>{E890E51B-AB06-4C92-97ED-801E20A3E180}</b:Guid>
    <b:Title>Mecanismos de Participación Ciudadana: la Consulta Popular en la Constitución de la República del Ecuador de 2008</b:Title>
    <b:Year>2011</b:Year>
    <b:Author>
      <b:Author>
        <b:NameList>
          <b:Person>
            <b:Last>Peña Carpio</b:Last>
            <b:First>Pablo</b:First>
          </b:Person>
        </b:NameList>
      </b:Author>
    </b:Author>
    <b:PublicationTitle>Mecanismos de Participación Ciudadana: la Consulta Popular en la Constitución de la República del Ecuador de 2008</b:PublicationTitle>
    <b:JournalName>Universidad del Azuay</b:JournalName>
    <b:Pages>29-30</b:Pages>
    <b:RefOrder>752</b:RefOrder>
  </b:Source>
  <b:Source>
    <b:Tag>Raf15</b:Tag>
    <b:SourceType>JournalArticle</b:SourceType>
    <b:Guid>{C52178D4-A4E1-455B-85E1-A1723A634399}</b:Guid>
    <b:Author>
      <b:Author>
        <b:NameList>
          <b:Person>
            <b:Last>Ramírez Gómez</b:Last>
            <b:First>Rafael</b:First>
            <b:Middle>Fausto</b:Middle>
          </b:Person>
        </b:NameList>
      </b:Author>
    </b:Author>
    <b:Title>La Consulta Popular convocada desde la ciudadanía en el Ecuador</b:Title>
    <b:JournalName>UNIVERSIDAD DE CUENCA  FACULTAD DE JURISPRUDENCIA, CIENCIAS POLÍTICAS Y SOCIALES</b:JournalName>
    <b:Year>2015</b:Year>
    <b:Pages>40</b:Pages>
    <b:RefOrder>753</b:RefOrder>
  </b:Source>
  <b:Source>
    <b:Tag>Hin17</b:Tag>
    <b:SourceType>JournalArticle</b:SourceType>
    <b:Guid>{1AEDEC05-0E67-41FB-840C-87947FE36A80}</b:Guid>
    <b:Author>
      <b:Author>
        <b:NameList>
          <b:Person>
            <b:Last>Hincapié</b:Last>
            <b:First>Sandra</b:First>
          </b:Person>
        </b:NameList>
      </b:Author>
    </b:Author>
    <b:Title>Extractivismo, consultas populares y derechos políticos ¿El renacimiento de la democracia local en Colombia?</b:Title>
    <b:JournalName>Reflexión Política</b:JournalName>
    <b:Year>2017</b:Year>
    <b:Pages>86-99</b:Pages>
    <b:City>Bucaramanga</b:City>
    <b:Month>enero-junio</b:Month>
    <b:Volume>19</b:Volume>
    <b:Issue>37</b:Issue>
    <b:YearAccessed>2021</b:YearAccessed>
    <b:MonthAccessed>Septiembre </b:MonthAccessed>
    <b:DayAccessed>19</b:DayAccessed>
    <b:URL>https://www.redalyc.org/pdf/110/11052397007.pdf</b:URL>
    <b:RefOrder>754</b:RefOrder>
  </b:Source>
  <b:Source>
    <b:Tag>Die18</b:Tag>
    <b:SourceType>JournalArticle</b:SourceType>
    <b:Guid>{DE3BA310-6056-44F7-9039-A030E416837E}</b:Guid>
    <b:Author>
      <b:Author>
        <b:NameList>
          <b:Person>
            <b:Last>Dietz</b:Last>
            <b:First>Kristina</b:First>
          </b:Person>
        </b:NameList>
      </b:Author>
    </b:Author>
    <b:Title>Consultas populares mineras en Colombia: Condiciones de su realización y significados políticos. El caso de La Colosa</b:Title>
    <b:JournalName>Colombia Internacional</b:JournalName>
    <b:Year>2018</b:Year>
    <b:Pages>93-117</b:Pages>
    <b:Issue>93</b:Issue>
    <b:DOI>https://dx.doi. org/10.7440/colombiaint93.2018.04</b:DOI>
    <b:RefOrder>755</b:RefOrder>
  </b:Source>
  <b:Source>
    <b:Tag>Ric20</b:Tag>
    <b:SourceType>JournalArticle</b:SourceType>
    <b:Guid>{A624D7BD-EB45-4401-96D5-BD11AF5D08B5}</b:Guid>
    <b:Title>Participación ciudadana en la consulta popular en defensa del agua; Fusagasugá "no a la minería no al fracking".</b:Title>
    <b:Year>2020</b:Year>
    <b:Author>
      <b:Author>
        <b:NameList>
          <b:Person>
            <b:Last>Forero Gómez</b:Last>
            <b:First>Ricardo</b:First>
            <b:Middle>Emiliano</b:Middle>
          </b:Person>
        </b:NameList>
      </b:Author>
    </b:Author>
    <b:City>Bogotá</b:City>
    <b:URL>http://hdl.handle.net/20.500.12209/13211</b:URL>
    <b:RefOrder>756</b:RefOrder>
  </b:Source>
  <b:Source>
    <b:Tag>Oce21</b:Tag>
    <b:SourceType>JournalArticle</b:SourceType>
    <b:Guid>{AAB6AA20-983C-4DF9-BD83-46F8473DB75E}</b:Guid>
    <b:Author>
      <b:Author>
        <b:NameList>
          <b:Person>
            <b:Last>Gutiérrez Ocegueda</b:Last>
            <b:First>Juan</b:First>
            <b:Middle>Ramón</b:Middle>
          </b:Person>
        </b:NameList>
      </b:Author>
    </b:Author>
    <b:Title>Naturaleza jurídica y efectos de las consultas públicas</b:Title>
    <b:JournalName>RICSH Revista Iberoamericana de las Ciencias Sociales y Humanisticas</b:JournalName>
    <b:Year>2021</b:Year>
    <b:Pages>1-35</b:Pages>
    <b:Volume>10</b:Volume>
    <b:Issue>19</b:Issue>
    <b:DOI>https://doi.org/10.23913/ricsh.v10i19.226</b:DOI>
    <b:RefOrder>757</b:RefOrder>
  </b:Source>
  <b:Source>
    <b:Tag>Ath95</b:Tag>
    <b:SourceType>JournalArticle</b:SourceType>
    <b:Guid>{5C44925F-465A-44AF-ADC8-066013BABFAC}</b:Guid>
    <b:Author>
      <b:Author>
        <b:NameList>
          <b:Person>
            <b:Last>Athanasiadis</b:Last>
            <b:First>I</b:First>
          </b:Person>
        </b:NameList>
      </b:Author>
    </b:Author>
    <b:Title>Correspondence Analysis and Hierarchical Classification</b:Title>
    <b:JournalName>Athens: New Technologies Editions.</b:JournalName>
    <b:Year>1995</b:Year>
    <b:Pages>51-56</b:Pages>
    <b:RefOrder>758</b:RefOrder>
  </b:Source>
  <b:Source>
    <b:Tag>Dav10</b:Tag>
    <b:SourceType>JournalArticle</b:SourceType>
    <b:Guid>{F37061E5-B2AA-4B96-AA15-85C6E78222C0}</b:Guid>
    <b:Title>Plebiscitos, referendos e iniciativas populares en América Latina: ¿mecanismos de control político o políticamente controlados?</b:Title>
    <b:JournalName>Perfiles Latinoamericanos </b:JournalName>
    <b:Year>2010</b:Year>
    <b:Author>
      <b:Author>
        <b:NameList>
          <b:Person>
            <b:Last>Altman</b:Last>
            <b:First>David</b:First>
          </b:Person>
        </b:NameList>
      </b:Author>
    </b:Author>
    <b:Volume>18</b:Volume>
    <b:Issue>35</b:Issue>
    <b:URL>http://www.scielo.org.mx/pdf/perlat/v18n35/v18n35a1.pdf</b:URL>
    <b:RefOrder>759</b:RefOrder>
  </b:Source>
  <b:Source>
    <b:Tag>Ban18</b:Tag>
    <b:SourceType>InternetSite</b:SourceType>
    <b:Guid>{7E741B12-0CD5-4B5E-A043-D1460E7E1C75}</b:Guid>
    <b:Title>Banco Central del Ecuador</b:Title>
    <b:Year>2018</b:Year>
    <b:Month>Diciembre</b:Month>
    <b:URL>https://contenido.bce.fin.ec/documentos/PublicacionesNotas/Catalogo/CuentasNacionales/Anuales/Dolares/IndiceCtasNac.htm</b:URL>
    <b:InternetSiteTitle>Formación Bruta de Capital Fijo</b:InternetSiteTitle>
    <b:RefOrder>760</b:RefOrder>
  </b:Source>
  <b:Source>
    <b:Tag>Cua06</b:Tag>
    <b:SourceType>JournalArticle</b:SourceType>
    <b:Guid>{1AC5D194-AC4D-4F91-B4BD-36B34FE1833A}</b:Guid>
    <b:Title>Inversión pública e inversión privada. Excluyentes o complementarias.</b:Title>
    <b:Year>2006</b:Year>
    <b:JournalName>Revista de la Facultad de Economía. BUAP</b:JournalName>
    <b:Author>
      <b:Author>
        <b:NameList>
          <b:Person>
            <b:Last>Cuamatzin</b:Last>
            <b:First>Fortunato</b:First>
          </b:Person>
        </b:NameList>
      </b:Author>
    </b:Author>
    <b:RefOrder>761</b:RefOrder>
  </b:Source>
  <b:Source>
    <b:Tag>MarcadorDePosición46</b:Tag>
    <b:SourceType>JournalArticle</b:SourceType>
    <b:Guid>{6ED15C62-625C-4DA6-9FB7-08F561C84240}</b:Guid>
    <b:Author>
      <b:Author>
        <b:NameList>
          <b:Person>
            <b:Last>Lopez</b:Last>
            <b:First>Anthony</b:First>
          </b:Person>
        </b:NameList>
      </b:Author>
    </b:Author>
    <b:Title>Redalyc.com</b:Title>
    <b:InternetSiteTitle>Redalyc.com</b:InternetSiteTitle>
    <b:Year>2010</b:Year>
    <b:Month>09</b:Month>
    <b:Day>24</b:Day>
    <b:JournalName>Redalyc.com</b:JournalName>
    <b:Pages>4 - 14</b:Pages>
    <b:RefOrder>762</b:RefOrder>
  </b:Source>
  <b:Source>
    <b:Tag>Fra10</b:Tag>
    <b:SourceType>JournalArticle</b:SourceType>
    <b:Guid>{D9CE8E93-B382-47A3-B606-3D8C02ADDB2D}</b:Guid>
    <b:Author>
      <b:Author>
        <b:NameList>
          <b:Person>
            <b:Last>Ruiz</b:Last>
            <b:First>Francisco</b:First>
            <b:Middle>Javier</b:Middle>
          </b:Person>
        </b:NameList>
      </b:Author>
    </b:Author>
    <b:Title>Conocimiento en la Nube: Caracteristicas, sociocomunicativas de Cloud Computing</b:Title>
    <b:JournalName>Redalyc</b:JournalName>
    <b:Year>2010</b:Year>
    <b:Pages>17</b:Pages>
    <b:RefOrder>763</b:RefOrder>
  </b:Source>
  <b:Source>
    <b:Tag>Cat06</b:Tag>
    <b:SourceType>JournalArticle</b:SourceType>
    <b:Guid>{2B5A8B3F-364F-41D7-A3D8-E94967D548D5}</b:Guid>
    <b:Author>
      <b:Author>
        <b:NameList>
          <b:Person>
            <b:Last>Peña</b:Last>
            <b:First>Jorge</b:First>
            <b:Middle>Luis</b:Middle>
          </b:Person>
          <b:Person>
            <b:Last>Perez</b:Last>
            <b:First>Wilmaris</b:First>
          </b:Person>
          <b:Person>
            <b:Last>Blanco</b:Last>
            <b:First>Wilmaris</b:First>
          </b:Person>
        </b:NameList>
      </b:Author>
    </b:Author>
    <b:Title>El sistema operativo Linux y el cambio necesario</b:Title>
    <b:InternetSiteTitle>Redalyc </b:InternetSiteTitle>
    <b:Year>2006</b:Year>
    <b:Month>septiembre</b:Month>
    <b:Day>2</b:Day>
    <b:JournalName>Redalyc</b:JournalName>
    <b:Pages>8</b:Pages>
    <b:RefOrder>764</b:RefOrder>
  </b:Source>
  <b:Source>
    <b:Tag>Pol10</b:Tag>
    <b:SourceType>JournalArticle</b:SourceType>
    <b:Guid>{7F5E47F6-42C0-413E-A165-03E286841A20}</b:Guid>
    <b:Author>
      <b:Author>
        <b:NameList>
          <b:Person>
            <b:Last>Polanco</b:Last>
            <b:First>Kristel</b:First>
            <b:Middle>Malave</b:Middle>
          </b:Person>
          <b:Person>
            <b:Last>Beauperthuy Taibo</b:Last>
            <b:Middle>Luis</b:Middle>
            <b:First>José </b:First>
          </b:Person>
        </b:NameList>
      </b:Author>
    </b:Author>
    <b:Title>Android el Sistema Operativo de Google</b:Title>
    <b:InternetSiteTitle>Redalyc</b:InternetSiteTitle>
    <b:Year>2011</b:Year>
    <b:JournalName>Redalyc</b:JournalName>
    <b:Pages>19</b:Pages>
    <b:RefOrder>765</b:RefOrder>
  </b:Source>
  <b:Source>
    <b:Tag>App19</b:Tag>
    <b:SourceType>InternetSite</b:SourceType>
    <b:Guid>{84044D1D-B7A9-457E-AA6C-83086AEBB9EE}</b:Guid>
    <b:Author>
      <b:Author>
        <b:NameList>
          <b:Person>
            <b:Last>Cook</b:Last>
            <b:First>Tim</b:First>
          </b:Person>
        </b:NameList>
      </b:Author>
    </b:Author>
    <b:Title>Apple</b:Title>
    <b:InternetSiteTitle>Applle</b:InternetSiteTitle>
    <b:Year>2019</b:Year>
    <b:URL>https://www.apple.com/la/macos/what-is/</b:URL>
    <b:RefOrder>766</b:RefOrder>
  </b:Source>
  <b:Source>
    <b:Tag>MarcadorDePosición47</b:Tag>
    <b:SourceType>Book</b:SourceType>
    <b:Guid>{BB578292-AAB0-4F30-838D-45C60F06FB75}</b:Guid>
    <b:Author>
      <b:Author>
        <b:Corporate>Asamblea Nacional Constituyente</b:Corporate>
      </b:Author>
    </b:Author>
    <b:Year>2008</b:Year>
    <b:Publisher>Registro Oficial 449 de 20 de octubre del 2008</b:Publisher>
    <b:CountryRegion>Ecuador</b:CountryRegion>
    <b:YearAccessed>2021</b:YearAccessed>
    <b:MonthAccessed>Agosto </b:MonthAccessed>
    <b:DayAccessed>12</b:DayAccessed>
    <b:URL>www.registroofcicial.ec </b:URL>
    <b:RefOrder>767</b:RefOrder>
  </b:Source>
  <b:Source>
    <b:Tag>MarcadorDePosición48</b:Tag>
    <b:SourceType>DocumentFromInternetSite</b:SourceType>
    <b:Guid>{617AFC25-B1A2-4B35-9BF2-5C1E42260D1F}</b:Guid>
    <b:Author>
      <b:Author>
        <b:NameList>
          <b:Person>
            <b:Last>Cornejo Aguiar</b:Last>
            <b:First>José</b:First>
            <b:Middle>Sebastián</b:Middle>
          </b:Person>
        </b:NameList>
      </b:Author>
    </b:Author>
    <b:Title>Derecho Ecuador</b:Title>
    <b:Year>2015</b:Year>
    <b:InternetSiteTitle>Derecho.Ecuador.com</b:InternetSiteTitle>
    <b:Month>Octubre</b:Month>
    <b:Day>22</b:Day>
    <b:URL>https://www.derechoecuador.com/analisis-del-principio-de-imparcialidad</b:URL>
    <b:YearAccessed>2021</b:YearAccessed>
    <b:MonthAccessed>Agosto</b:MonthAccessed>
    <b:DayAccessed>13</b:DayAccessed>
    <b:RefOrder>768</b:RefOrder>
  </b:Source>
  <b:Source>
    <b:Tag>Acu17</b:Tag>
    <b:SourceType>Book</b:SourceType>
    <b:Guid>{1DAA4042-59BF-49CD-A0A1-646A64D4E944}</b:Guid>
    <b:Author>
      <b:Author>
        <b:Corporate>Acuerdo Ministerial No. MDT -0169</b:Corporate>
      </b:Author>
    </b:Author>
    <b:Title>NORMATIVA TECNICA</b:Title>
    <b:Year>2017</b:Year>
    <b:YearAccessed>2021</b:YearAccessed>
    <b:MonthAccessed>Agosto</b:MonthAccessed>
    <b:DayAccessed>12</b:DayAccessed>
    <b:URL>file:///F:/NORMATIVA/MDT-2017-0169(1).pdf</b:URL>
    <b:RefOrder>769</b:RefOrder>
  </b:Source>
  <b:Source>
    <b:Tag>Eib08</b:Tag>
    <b:SourceType>DocumentFromInternetSite</b:SourceType>
    <b:Guid>{B8B6DEED-3A8A-4505-9D1D-7E0DD72D8446}</b:Guid>
    <b:Author>
      <b:Author>
        <b:NameList>
          <b:Person>
            <b:Last>Eiben</b:Last>
            <b:First>Ezequiel</b:First>
          </b:Person>
        </b:NameList>
      </b:Author>
    </b:Author>
    <b:Year>2008</b:Year>
    <b:URL>https://tuespaciojuridico.com.ar/tudoctrina/2018/10/24/1-78/</b:URL>
    <b:YearAccessed>2021</b:YearAccessed>
    <b:MonthAccessed>Agosto</b:MonthAccessed>
    <b:DayAccessed>25</b:DayAccessed>
    <b:Title>Tu Espacio Juridico</b:Title>
    <b:Month>Octubre</b:Month>
    <b:Day>24</b:Day>
    <b:RefOrder>770</b:RefOrder>
  </b:Source>
  <b:Source>
    <b:Tag>Jar12</b:Tag>
    <b:SourceType>DocumentFromInternetSite</b:SourceType>
    <b:Guid>{B28096FB-0888-4094-8632-9DEAD8990A06}</b:Guid>
    <b:Author>
      <b:Author>
        <b:NameList>
          <b:Person>
            <b:Last>Jaramillo Huilcapi</b:Last>
            <b:First>Veronica.</b:First>
          </b:Person>
        </b:NameList>
      </b:Author>
    </b:Author>
    <b:Title>Repositorio Universidad Simón Bolivar Sede Eciador</b:Title>
    <b:InternetSiteTitle>repositorio.uasb.edu.ec</b:InternetSiteTitle>
    <b:Year>2012</b:Year>
    <b:Month>Septiembre</b:Month>
    <b:Day>28</b:Day>
    <b:YearAccessed>2021</b:YearAccessed>
    <b:MonthAccessed>Agosto</b:MonthAccessed>
    <b:DayAccessed>2021</b:DayAccessed>
    <b:URL>http://repositorio.uasb.edu.ec/bitstream/10644/3192/1/T1173-MDE-Jaramillo-Los%20principios.pdf</b:URL>
    <b:RefOrder>771</b:RefOrder>
  </b:Source>
  <b:Source>
    <b:Tag>Ont12</b:Tag>
    <b:SourceType>DocumentFromInternetSite</b:SourceType>
    <b:Guid>{54D921B3-26A5-474B-AE5C-00B2C6205175}</b:Guid>
    <b:Author>
      <b:Author>
        <b:Corporate>(B) Reglamento General a la Ley Orgánica de Educacion Intercultural</b:Corporate>
      </b:Author>
    </b:Author>
    <b:Title>Ministerio de Educacion</b:Title>
    <b:Year>2012</b:Year>
    <b:YearAccessed>2021</b:YearAccessed>
    <b:MonthAccessed>Agosto </b:MonthAccessed>
    <b:DayAccessed>13</b:DayAccessed>
    <b:URL>file:///F:/NORMATIVA/Reglamento-General-Ley-Organica-Educacion-Intercultural.pdf</b:URL>
    <b:RefOrder>772</b:RefOrder>
  </b:Source>
  <b:Source>
    <b:Tag>Ley10</b:Tag>
    <b:SourceType>Book</b:SourceType>
    <b:Guid>{EBD16657-1B90-4399-A182-9C0D7E34DB9A}</b:Guid>
    <b:Author>
      <b:Author>
        <b:Corporate>Ley Orgánica de Servicio Público, LOSEP</b:Corporate>
      </b:Author>
    </b:Author>
    <b:Year>2010</b:Year>
    <b:YearAccessed>2021</b:YearAccessed>
    <b:MonthAccessed>Agosto</b:MonthAccessed>
    <b:DayAccessed>13</b:DayAccessed>
    <b:RefOrder>773</b:RefOrder>
  </b:Source>
  <b:Source>
    <b:Tag>MarcadorDePosición49</b:Tag>
    <b:SourceType>Misc</b:SourceType>
    <b:Guid>{6FA1457C-4ABC-42DA-AEE2-426CE6450899}</b:Guid>
    <b:Title>Resolución No. 1/2020. Pandemia y Derechos Humanos en las Américas</b:Title>
    <b:Year>2020</b:Year>
    <b:Publisher>Organización de Estados Americanos OEA</b:Publisher>
    <b:City>Washington D. C.</b:City>
    <b:LCID>en-US</b:LCID>
    <b:Author>
      <b:Author>
        <b:Corporate>Comisión Interamericana de Derechios Humanos</b:Corporate>
      </b:Author>
    </b:Author>
    <b:Comments>http://oas.org/es/cidh/decisiones/pdf/Resolucion-1-20-es.pdf</b:Comments>
    <b:CountryRegion>Estados Unidos</b:CountryRegion>
    <b:RefOrder>774</b:RefOrder>
  </b:Source>
  <b:Source>
    <b:Tag>Dec201</b:Tag>
    <b:SourceType>Misc</b:SourceType>
    <b:Guid>{1F58119B-9504-4E91-9B37-A8FC443F8860}</b:Guid>
    <b:LCID>en-US</b:LCID>
    <b:Title>Decreto No.1017-2020. Declaratoria de Estado de Excepción</b:Title>
    <b:Year>2020</b:Year>
    <b:City>Quito</b:City>
    <b:Publisher>Decreto No.1017-2020</b:Publisher>
    <b:Author>
      <b:Author>
        <b:Corporate>Presidencia de la República de Ecuador</b:Corporate>
      </b:Author>
    </b:Author>
    <b:CountryRegion>Ecuador</b:CountryRegion>
    <b:Comments>https://www.cip.org.ec/2020/07/03/repositorio-de-documentos-emergencia-covid-19-ecuador/</b:Comments>
    <b:RefOrder>775</b:RefOrder>
  </b:Source>
  <b:Source>
    <b:Tag>MarcadorDePosición50</b:Tag>
    <b:SourceType>DocumentFromInternetSite</b:SourceType>
    <b:Guid>{4FE4794E-8EB8-477B-9589-C407B5FC02B3}</b:Guid>
    <b:Title>Estado de Excepción en el Ecuador. COVID-19</b:Title>
    <b:Year>2020</b:Year>
    <b:LCID>en-US</b:LCID>
    <b:Author>
      <b:Author>
        <b:NameList>
          <b:Person>
            <b:Last>Coronel</b:Last>
          </b:Person>
          <b:Person>
            <b:Last>Perez</b:Last>
            <b:First>Abogados</b:First>
          </b:Person>
        </b:NameList>
      </b:Author>
    </b:Author>
    <b:InternetSiteTitle>Estado de Excepción en el Ecuador. COVID-19</b:InternetSiteTitle>
    <b:Month>Abril</b:Month>
    <b:Day>18</b:Day>
    <b:URL>https://www.coronelyperez.com/2020/04/18/estado-de-excepcion-en-el-ecuador/</b:URL>
    <b:YearAccessed>2020</b:YearAccessed>
    <b:MonthAccessed>Julio</b:MonthAccessed>
    <b:DayAccessed>09</b:DayAccessed>
    <b:RefOrder>776</b:RefOrder>
  </b:Source>
  <b:Source>
    <b:Tag>MarcadorDePosición51</b:Tag>
    <b:SourceType>Misc</b:SourceType>
    <b:Guid>{3336E5D7-ADBB-40BF-999A-506142DAE71B}</b:Guid>
    <b:Author>
      <b:Author>
        <b:Corporate>Asamblea Constituyente</b:Corporate>
      </b:Author>
    </b:Author>
    <b:Year>2008</b:Year>
    <b:City>Quito</b:City>
    <b:Publisher>Asamblea Constituyente</b:Publisher>
    <b:CountryRegion>Ecuador</b:CountryRegion>
    <b:Title>Constitución de la República de Ecuador</b:Title>
    <b:LCID>en-US</b:LCID>
    <b:RefOrder>777</b:RefOrder>
  </b:Source>
  <b:Source>
    <b:Tag>Ofi18</b:Tag>
    <b:SourceType>DocumentFromInternetSite</b:SourceType>
    <b:Guid>{A9A0C184-D904-4A5D-BA2B-0751BC5CBE2C}</b:Guid>
    <b:LCID>en-US</b:LCID>
    <b:Author>
      <b:Author>
        <b:Corporate>Oficina del Alto Comisionado de Naciones Unidas para los Derechos Humanos</b:Corporate>
      </b:Author>
    </b:Author>
    <b:Title>Los poderes de excepción deben ser limitados y proporcionales, afirma experta en lucha antiterrorista de las Naciones Unidas</b:Title>
    <b:InternetSiteTitle>Los poderes de excepción deben ser limitados y proporcionales, afirma experta en lucha antiterrorista de las Naciones Unidas</b:InternetSiteTitle>
    <b:Year>2018</b:Year>
    <b:Month>Marzo</b:Month>
    <b:Day>13</b:Day>
    <b:URL>https://www.ohchr.org/SP/NewsEvents/Pages/StatesOfEmergency.aspx</b:URL>
    <b:YearAccessed>2020</b:YearAccessed>
    <b:MonthAccessed>Julio</b:MonthAccessed>
    <b:DayAccessed>09</b:DayAccessed>
    <b:RefOrder>778</b:RefOrder>
  </b:Source>
  <b:Source>
    <b:Tag>Gar02</b:Tag>
    <b:SourceType>Book</b:SourceType>
    <b:Guid>{346D3685-1AE4-45D6-A3C2-761BDD56330E}</b:Guid>
    <b:Title>Diccionario de jurisprudencia romana</b:Title>
    <b:Year>2002</b:Year>
    <b:LCID>en-US</b:LCID>
    <b:Author>
      <b:Author>
        <b:NameList>
          <b:Person>
            <b:Last>García</b:Last>
            <b:First>Manuel</b:First>
          </b:Person>
        </b:NameList>
      </b:Author>
    </b:Author>
    <b:City>Madrid</b:City>
    <b:Publisher>S.L. - DYKINSON</b:Publisher>
    <b:CountryRegion>España</b:CountryRegion>
    <b:Pages>1-465</b:Pages>
    <b:RefOrder>779</b:RefOrder>
  </b:Source>
  <b:Source>
    <b:Tag>Val181</b:Tag>
    <b:SourceType>DocumentFromInternetSite</b:SourceType>
    <b:Guid>{8C309117-B374-4BE1-91A3-090B74B893B3}</b:Guid>
    <b:Title>La tutela judicial efectiva como derecho fundamental y la protección jurisdiccional</b:Title>
    <b:Year>2018</b:Year>
    <b:Month>junio</b:Month>
    <b:Day>27</b:Day>
    <b:URL>https://www2.uned.es/ca-tortosa/Biblioteca_Digital/Biblio/Valmana/La%20Tutela.pdf</b:URL>
    <b:LCID>en-US</b:LCID>
    <b:Pages>1-25</b:Pages>
    <b:Author>
      <b:Author>
        <b:NameList>
          <b:Person>
            <b:Last>Valmaña</b:Last>
            <b:First>Silvia</b:First>
          </b:Person>
        </b:NameList>
      </b:Author>
    </b:Author>
    <b:City>Tortosa</b:City>
    <b:RefOrder>780</b:RefOrder>
  </b:Source>
  <b:Source>
    <b:Tag>Mel14</b:Tag>
    <b:SourceType>JournalArticle</b:SourceType>
    <b:Guid>{B02CF2D3-E887-4812-B8A2-FC191B783ABB}</b:Guid>
    <b:Title>Six Amendments, How and Why We Should Change the Constitution</b:Title>
    <b:Year>2014</b:Year>
    <b:LCID>en-US</b:LCID>
    <b:JournalName>Cuestiones constitucionales</b:JournalName>
    <b:Pages>293-303</b:Pages>
    <b:Author>
      <b:Author>
        <b:NameList>
          <b:Person>
            <b:Last>Melgar</b:Last>
            <b:First>Mario</b:First>
          </b:Person>
        </b:NameList>
      </b:Author>
    </b:Author>
    <b:Issue>31</b:Issue>
    <b:Comments>http://www.scielo.org.mx/scielo.php?script=sci_arttext&amp;pid=S1405-91932014000200013</b:Comments>
    <b:RefOrder>781</b:RefOrder>
  </b:Source>
  <b:Source>
    <b:Tag>Álv131</b:Tag>
    <b:SourceType>JournalArticle</b:SourceType>
    <b:Guid>{CCAB8959-2384-41B7-901E-9599282B7CE2}</b:Guid>
    <b:LCID>en-US</b:LCID>
    <b:Title>La tutela judicial efectiva en el ordenamiento jurídico venezolano</b:Title>
    <b:JournalName>Anuario</b:JournalName>
    <b:Year>2013</b:Year>
    <b:Pages>179-278</b:Pages>
    <b:Author>
      <b:Author>
        <b:NameList>
          <b:Person>
            <b:Last>Álvarez</b:Last>
            <b:First>Carmen</b:First>
          </b:Person>
        </b:NameList>
      </b:Author>
    </b:Author>
    <b:Volume>36</b:Volume>
    <b:Comments>http://servicio.bc.uc.edu.ve/derecho/revista/idc36/art09.pdf</b:Comments>
    <b:RefOrder>782</b:RefOrder>
  </b:Source>
  <b:Source>
    <b:Tag>Hur01</b:Tag>
    <b:SourceType>Book</b:SourceType>
    <b:Guid>{CDB91A30-351F-472C-B803-FD5B88E246A6}</b:Guid>
    <b:Title>Lecciones de derecho romano, volumen I</b:Title>
    <b:Year>2001</b:Year>
    <b:Pages>1-392</b:Pages>
    <b:Author>
      <b:Author>
        <b:NameList>
          <b:Person>
            <b:Last>Hurtado</b:Last>
            <b:First>Agustin</b:First>
          </b:Person>
        </b:NameList>
      </b:Author>
    </b:Author>
    <b:City>Caracas</b:City>
    <b:Publisher>Editorial Buchivacoa</b:Publisher>
    <b:LCID>en-US</b:LCID>
    <b:RefOrder>783</b:RefOrder>
  </b:Source>
  <b:Source>
    <b:Tag>Vil141</b:Tag>
    <b:SourceType>Report</b:SourceType>
    <b:Guid>{96DD6738-A9FC-428D-A750-6D2A3E4F5AA3}</b:Guid>
    <b:LCID>en-US</b:LCID>
    <b:Title>La Tutela Jurídica Constitucional Ecuatoriana dentro del Estado Social de Derecho y Justicia Social</b:Title>
    <b:Year>2014</b:Year>
    <b:City>Quito</b:City>
    <b:Author>
      <b:Author>
        <b:NameList>
          <b:Person>
            <b:Last>Villegas</b:Last>
            <b:First>Roque</b:First>
          </b:Person>
        </b:NameList>
      </b:Author>
    </b:Author>
    <b:Institution>Universidad Central del Ecuador</b:Institution>
    <b:ThesisType>Tesis de pregrado</b:ThesisType>
    <b:Comments>http://www.dspace.uce.edu.ec/bitstream/25000/4957/1/T-UCE-0013-Ab-300.pdf</b:Comments>
    <b:RefOrder>784</b:RefOrder>
  </b:Source>
  <b:Source>
    <b:Tag>Acu13</b:Tag>
    <b:SourceType>Report</b:SourceType>
    <b:Guid>{E50C1F40-2792-4AA1-AC96-09336ED250DA}</b:Guid>
    <b:Title>Tutela judicial efectiva y debido proceso en Venezuela</b:Title>
    <b:Year>2013</b:Year>
    <b:City>Cumaná</b:City>
    <b:LCID>en-US</b:LCID>
    <b:Author>
      <b:Author>
        <b:NameList>
          <b:Person>
            <b:Last>Acuña</b:Last>
            <b:First>Yuheisy</b:First>
          </b:Person>
        </b:NameList>
      </b:Author>
    </b:Author>
    <b:Institution>Universidad Católica Ándres Bello</b:Institution>
    <b:ThesisType>Tesis de especialización</b:ThesisType>
    <b:Comments>http://biblioteca2.ucab.edu.ve/anexos/biblioteca/marc/texto/AAS7666.pdf</b:Comments>
    <b:RefOrder>785</b:RefOrder>
  </b:Source>
  <b:Source>
    <b:Tag>Nik04</b:Tag>
    <b:SourceType>Book</b:SourceType>
    <b:Guid>{5C5BD838-8047-406E-8536-3E114197C589}</b:Guid>
    <b:Title>Estudios básicos de derechos humanos</b:Title>
    <b:Year>2004</b:Year>
    <b:Publisher>Instituto Interamericano de Derechos Humanos</b:Publisher>
    <b:City>San José</b:City>
    <b:LCID>en-US</b:LCID>
    <b:Author>
      <b:Author>
        <b:NameList>
          <b:Person>
            <b:Last>Nikken</b:Last>
            <b:First>Pedro</b:First>
          </b:Person>
        </b:NameList>
      </b:Author>
    </b:Author>
    <b:CountryRegion>Costa Rica</b:CountryRegion>
    <b:RefOrder>786</b:RefOrder>
  </b:Source>
  <b:Source>
    <b:Tag>ONU</b:Tag>
    <b:SourceType>Misc</b:SourceType>
    <b:Guid>{D4727143-429A-4273-9B1B-9A6B9E3A9279}</b:Guid>
    <b:Author>
      <b:Author>
        <b:Corporate>Organización de Naciones Unidas ONU</b:Corporate>
      </b:Author>
      <b:BookAuthor>
        <b:NameList>
          <b:Person>
            <b:Last>ONU</b:Last>
          </b:Person>
        </b:NameList>
      </b:BookAuthor>
    </b:Author>
    <b:InternetSiteTitle>Naciones Unidas</b:InternetSiteTitle>
    <b:URL>https://www.un.org/es/universal-declaration-human-rights/</b:URL>
    <b:LCID>es-EC</b:LCID>
    <b:Year>1948</b:Year>
    <b:City>Paris</b:City>
    <b:Title>Declaración Universal de los Derechos Humanos</b:Title>
    <b:CountryRegion>Francia</b:CountryRegion>
    <b:RefOrder>787</b:RefOrder>
  </b:Source>
  <b:Source>
    <b:Tag>Asa78</b:Tag>
    <b:SourceType>Misc</b:SourceType>
    <b:Guid>{6EED8516-61A0-4633-9BA5-85A12BC0E757}</b:Guid>
    <b:LCID>en-US</b:LCID>
    <b:Title>Convención Americana de Derechos Humanos</b:Title>
    <b:Year>1978</b:Year>
    <b:City>San José</b:City>
    <b:Author>
      <b:Author>
        <b:Corporate>Asamblea General de la Organización de Estados Americanos</b:Corporate>
      </b:Author>
    </b:Author>
    <b:PublicationTitle>ONU 27/08/1979 Nº</b:PublicationTitle>
    <b:Month>julio</b:Month>
    <b:Day>18</b:Day>
    <b:CountryRegion>Costa Rica</b:CountryRegion>
    <b:Comments>https://www.oas.org/dil/esp/1969_Convenci%C3%B3n_Americana_sobre_Derechos_Humanos.pdf</b:Comments>
    <b:RefOrder>788</b:RefOrder>
  </b:Source>
  <b:Source>
    <b:Tag>Agu131</b:Tag>
    <b:SourceType>InternetSite</b:SourceType>
    <b:Guid>{EC30F68C-5DC0-4C87-AC39-583482C5584D}</b:Guid>
    <b:Title>Tutela judicial efectiva</b:Title>
    <b:Year>2013</b:Year>
    <b:LCID>en-US</b:LCID>
    <b:InternetSiteTitle>Tutela judicial efectiva</b:InternetSiteTitle>
    <b:Month>junio</b:Month>
    <b:Day>17</b:Day>
    <b:URL>https://www.derechoecuador.com/tutela-judicial-efectiva</b:URL>
    <b:Author>
      <b:Author>
        <b:NameList>
          <b:Person>
            <b:Last>Aguirre</b:Last>
            <b:First>Vanesa</b:First>
          </b:Person>
        </b:NameList>
      </b:Author>
    </b:Author>
    <b:RefOrder>789</b:RefOrder>
  </b:Source>
  <b:Source>
    <b:Tag>Com</b:Tag>
    <b:SourceType>InternetSite</b:SourceType>
    <b:Guid>{B50F941E-5EA5-40D3-8A90-603D79A4DDE4}</b:Guid>
    <b:LCID>en-US</b:LCID>
    <b:Author>
      <b:Author>
        <b:Corporate>Comisión Interamericana de Derechos Humanos</b:Corporate>
      </b:Author>
    </b:Author>
    <b:URL>https://www.cidh.oas.org/countryrep/AccesoDESC07sp/Accesodescv.sp.htm</b:URL>
    <b:Title>El acceso a la justicia como garantía de los derechos económicos, sociales y culturales.  Estudio de los estándares fijados por el sistema interamericano de derechos humanos</b:Title>
    <b:InternetSiteTitle>El acceso a la justicia como garantía de los derechos económicos, sociales y culturales.  Estudio de los estándares fijados por el sistema interamericano de derechos humanos</b:InternetSiteTitle>
    <b:Year>2007</b:Year>
    <b:Month>septiembre</b:Month>
    <b:Day>07</b:Day>
    <b:RefOrder>790</b:RefOrder>
  </b:Source>
  <b:Source>
    <b:Tag>Sol18</b:Tag>
    <b:SourceType>Report</b:SourceType>
    <b:Guid>{2A637848-E97A-4184-8FBE-71BF56F70A01}</b:Guid>
    <b:LCID>en-US</b:LCID>
    <b:Title>Tutela judicial efectiva para víctimas de delitos sexuales en el sistema penal ecuatoriano</b:Title>
    <b:Year>2018</b:Year>
    <b:City>Quito</b:City>
    <b:Institution>Universidad Andina Simón Bolívar</b:Institution>
    <b:ThesisType>(Tesis de doctorado)</b:ThesisType>
    <b:Author>
      <b:Author>
        <b:NameList>
          <b:Person>
            <b:Last>Soledispa</b:Last>
            <b:First>Azucena</b:First>
          </b:Person>
        </b:NameList>
      </b:Author>
    </b:Author>
    <b:Comments>http://repositorio.uasb.edu.ec/handle/10644/6021</b:Comments>
    <b:RefOrder>791</b:RefOrder>
  </b:Source>
  <b:Source>
    <b:Tag>Cor99</b:Tag>
    <b:SourceType>Case</b:SourceType>
    <b:Guid>{5B7BC9DA-1CF0-49FD-A41F-F2CFB6338704}</b:Guid>
    <b:LCID>en-US</b:LCID>
    <b:Title>Caso Narciso Palacios vs. Argentina</b:Title>
    <b:CaseNumber>caso Nº 10.194, Informe Nº 105/99</b:CaseNumber>
    <b:Court>Corte Interamericana de Derechos Humanos</b:Court>
    <b:Year>1999</b:Year>
    <b:Month>septiembre</b:Month>
    <b:Day>29</b:Day>
    <b:Author>
      <b:Author>
        <b:Corporate>Corte Interamericana de Derechos Humanos</b:Corporate>
      </b:Author>
    </b:Author>
    <b:RefOrder>792</b:RefOrder>
  </b:Source>
  <b:Source>
    <b:Tag>Cor</b:Tag>
    <b:SourceType>Case</b:SourceType>
    <b:Guid>{4E4C4275-C6F4-4D7F-AA80-C10E3CCF4000}</b:Guid>
    <b:LCID>en-US</b:LCID>
    <b:Court>Corte Interamericana de Derechos Humanos</b:Court>
    <b:Author>
      <b:Author>
        <b:Corporate>Corte Interamericana de Derechos Humanos</b:Corporate>
      </b:Author>
    </b:Author>
    <b:Title>Caso Mejía Idrovo vs. Ecuador. Sentencia de 5 de julio de 2011</b:Title>
    <b:CaseNumber>Serie 228 </b:CaseNumber>
    <b:Year>2011</b:Year>
    <b:Month>julio</b:Month>
    <b:Day>05</b:Day>
    <b:RefOrder>793</b:RefOrder>
  </b:Source>
  <b:Source>
    <b:Tag>Cor171</b:Tag>
    <b:SourceType>Case</b:SourceType>
    <b:Guid>{5F39C28B-71C5-4874-A51B-7BA6728D497C}</b:Guid>
    <b:LCID>en-US</b:LCID>
    <b:Title>Caso Lagos del Campo Vs. Perú. Sentencia de 31 de agosto de 2017</b:Title>
    <b:CaseNumber>Serie C No. 340</b:CaseNumber>
    <b:Court>Corte Interamericana de Derechos Humanos</b:Court>
    <b:Year>2017</b:Year>
    <b:Month>agosto</b:Month>
    <b:Day>31</b:Day>
    <b:Author>
      <b:Author>
        <b:Corporate>Corte Interamericana de Derechos Humanos</b:Corporate>
      </b:Author>
    </b:Author>
    <b:Comments>https://www.corteidh.or.cr/sitios/libros/todos/docs/cuadernillo13.pdf</b:Comments>
    <b:RefOrder>794</b:RefOrder>
  </b:Source>
  <b:Source>
    <b:Tag>Lóp13</b:Tag>
    <b:SourceType>Report</b:SourceType>
    <b:Guid>{B345C5B7-AE08-4459-9978-BCB65DD5E907}</b:Guid>
    <b:Title>Tutela judicial efectiva en la ejecución de sentencias expedidas por la Corte Interamericana de Derechos Humanos contra Ecuador</b:Title>
    <b:Year>2013</b:Year>
    <b:City>Quito</b:City>
    <b:LCID>en-US</b:LCID>
    <b:Author>
      <b:Author>
        <b:NameList>
          <b:Person>
            <b:Last>López</b:Last>
            <b:First>Magali</b:First>
          </b:Person>
        </b:NameList>
      </b:Author>
    </b:Author>
    <b:Institution>Universidad Andina Simón Bolívar</b:Institution>
    <b:ThesisType>Tesis de Mestría</b:ThesisType>
    <b:Comments>http://repositorio.uasb.edu.ec/bitstream/10644/3424/1/T1249-MDP-Lopez-Tutela.pdf</b:Comments>
    <b:RefOrder>795</b:RefOrder>
  </b:Source>
  <b:Source>
    <b:Tag>MarcadorDePosición52</b:Tag>
    <b:SourceType>Misc</b:SourceType>
    <b:Guid>{50B34EF2-E1E1-4371-9A38-EB904569DFF8}</b:Guid>
    <b:Author>
      <b:Author>
        <b:Corporate>Asamblea Constituyente</b:Corporate>
      </b:Author>
    </b:Author>
    <b:Year>2008</b:Year>
    <b:City>Quito</b:City>
    <b:Publisher>Asamblea Constituyente</b:Publisher>
    <b:CountryRegion>Ecuador</b:CountryRegion>
    <b:Title>Constitución de la República de Ecuador</b:Title>
    <b:RefOrder>796</b:RefOrder>
  </b:Source>
  <b:Source>
    <b:Tag>Cev18</b:Tag>
    <b:SourceType>JournalArticle</b:SourceType>
    <b:Guid>{5DEAEBAE-4218-461F-8BE1-0CD37AB29106}</b:Guid>
    <b:Title>Tutela judicial efectiva y la relación con el principio de inmediación</b:Title>
    <b:Year>2018</b:Year>
    <b:LCID>en-US</b:LCID>
    <b:JournalName>Universidad y Sociedad</b:JournalName>
    <b:Pages>168-173</b:Pages>
    <b:Author>
      <b:Author>
        <b:NameList>
          <b:Person>
            <b:Last>Cevallos</b:Last>
            <b:First>Gissela</b:First>
          </b:Person>
          <b:Person>
            <b:Last>Alvarado</b:Last>
            <b:First>Zoila</b:First>
          </b:Person>
        </b:NameList>
      </b:Author>
    </b:Author>
    <b:Volume>10</b:Volume>
    <b:Issue>1</b:Issue>
    <b:Comments>http://scielo.sld.cu/pdf/rus/v10n1/2218-3620-rus-10-01-168.pdf</b:Comments>
    <b:RefOrder>797</b:RefOrder>
  </b:Source>
  <b:Source>
    <b:Tag>Asa092</b:Tag>
    <b:SourceType>Misc</b:SourceType>
    <b:Guid>{55A6F61A-DBD0-4292-A353-0AD0D421C29E}</b:Guid>
    <b:Title>Código Orgánico de la Función Judicial</b:Title>
    <b:Year>2009</b:Year>
    <b:LCID>en-US</b:LCID>
    <b:PublicationTitle>Registro Oficial Suplemento 544. Última modificación 22-may.-2015</b:PublicationTitle>
    <b:Month>marzo</b:Month>
    <b:Day>09</b:Day>
    <b:City>Quito</b:City>
    <b:CountryRegion>Ecuador</b:CountryRegion>
    <b:Publisher>Asamblea Nacional de Ecuador</b:Publisher>
    <b:Author>
      <b:Author>
        <b:Corporate>Asamblea Nacional de Ecuador</b:Corporate>
      </b:Author>
    </b:Author>
    <b:Comments>http://www.funcionjudicial.gob.ec/www/pdf/normativa/codigo_organico_fj.pdf</b:Comments>
    <b:RefOrder>798</b:RefOrder>
  </b:Source>
  <b:Source>
    <b:Tag>Kin16</b:Tag>
    <b:SourceType>Report</b:SourceType>
    <b:Guid>{66F2F84F-8271-461E-9CE7-DD32D59D27B4}</b:Guid>
    <b:Title>La materialización de la tutela judicial efectiva en el Ecuador, un derecho de compleja configuración</b:Title>
    <b:Year>2016</b:Year>
    <b:City>Guayaquil</b:City>
    <b:LCID>en-US</b:LCID>
    <b:Author>
      <b:Author>
        <b:NameList>
          <b:Person>
            <b:Last>Kinchuela</b:Last>
            <b:First>Rosa</b:First>
          </b:Person>
        </b:NameList>
      </b:Author>
    </b:Author>
    <b:Institution>Universidad Católica de Santiago de Guayaquil</b:Institution>
    <b:ThesisType>Tesis de Maestría</b:ThesisType>
    <b:Comments>http://repositorio.ucsg.edu.ec/bitstream/3317/5956/1/T-UCSG-POS-MDC-49.pdf</b:Comments>
    <b:RefOrder>799</b:RefOrder>
  </b:Source>
  <b:Source>
    <b:Tag>Cor153</b:Tag>
    <b:SourceType>Case</b:SourceType>
    <b:Guid>{481F040F-1F92-4325-A218-4CE68175A68D}</b:Guid>
    <b:Title>Sentencia N.o 090-15-SEP-CC</b:Title>
    <b:Year>2015</b:Year>
    <b:City>Quito</b:City>
    <b:LCID>en-US</b:LCID>
    <b:CaseNumber>Caso N.o 1567-13-EP</b:CaseNumber>
    <b:Court>Corte Constitucional de Ecuador</b:Court>
    <b:Month>marzo</b:Month>
    <b:Day>25</b:Day>
    <b:Author>
      <b:Author>
        <b:Corporate>Corte Constitucional de Ecuador</b:Corporate>
      </b:Author>
    </b:Author>
    <b:Comments>http://www.litigioscomplejos.com/sentencias/ecuador/090-15-SEP-CC.pdf</b:Comments>
    <b:RefOrder>800</b:RefOrder>
  </b:Source>
  <b:Source>
    <b:Tag>Cor162</b:Tag>
    <b:SourceType>Case</b:SourceType>
    <b:Guid>{218DB8F2-101C-4EC8-B380-2B6A95B2B24C}</b:Guid>
    <b:Title>Sentencia N.° 364-16-SEP-CC</b:Title>
    <b:CaseNumber>Caso</b:CaseNumber>
    <b:Court>Corte Constitucional de Ecuador</b:Court>
    <b:Year>2016</b:Year>
    <b:Month>noviembre</b:Month>
    <b:Day>15</b:Day>
    <b:Author>
      <b:Author>
        <b:Corporate>Corte Constitucional de Ecuador</b:Corporate>
      </b:Author>
    </b:Author>
    <b:Reporter>N.° 1470-14-EP</b:Reporter>
    <b:City>Quito</b:City>
    <b:Comments>http://www.litigioscomplejos.com/sentencias/ecuador/364-16-SEP-CC.pdf</b:Comments>
    <b:LCID>en-US</b:LCID>
    <b:RefOrder>801</b:RefOrder>
  </b:Source>
  <b:Source>
    <b:Tag>No119</b:Tag>
    <b:SourceType>Case</b:SourceType>
    <b:Guid>{C32DB213-2843-45FF-A218-D708B135D8AA}</b:Guid>
    <b:Title>Sentencia No. 1943-12-EP/19</b:Title>
    <b:CaseNumber>Caso</b:CaseNumber>
    <b:Court>Corte Constitucional del Ecuador</b:Court>
    <b:Year>2019</b:Year>
    <b:Month>Septiembre</b:Month>
    <b:Day>25</b:Day>
    <b:URL>https://portal.corteconstitucional.gob.ec/FichaRelatoria.aspx?numdocumento=1943-12-EP/19</b:URL>
    <b:LCID>en-US</b:LCID>
    <b:Author>
      <b:Author>
        <b:Corporate>Corte Constitucional del  Ecuador</b:Corporate>
      </b:Author>
    </b:Author>
    <b:RefOrder>802</b:RefOrder>
  </b:Source>
  <b:Source>
    <b:Tag>Cor212</b:Tag>
    <b:SourceType>Case</b:SourceType>
    <b:Guid>{3DCD2848-EFD7-4F41-9C5B-6A2FA6669E1D}</b:Guid>
    <b:Title>Sentencia No. 472-15-EP/21</b:Title>
    <b:CaseNumber>Caso No. 472-15-EP</b:CaseNumber>
    <b:Court>Corte Constitucional del Ecuador</b:Court>
    <b:Year>2021</b:Year>
    <b:Month>Abril</b:Month>
    <b:Day>21</b:Day>
    <b:Author>
      <b:Author>
        <b:Corporate>Corte Constitucional del Ecuador</b:Corporate>
      </b:Author>
    </b:Author>
    <b:URL>https://portal.corteconstitucional.gob.ec/FichaRelatoria.aspx?numdocumento=472-15-EP/21</b:URL>
    <b:LCID>en-US</b:LCID>
    <b:RefOrder>803</b:RefOrder>
  </b:Source>
  <b:Source>
    <b:Tag>MarcadorDePosición53</b:Tag>
    <b:SourceType>Case</b:SourceType>
    <b:Guid>{6BE942FC-205A-4D81-9528-3126E736FB09}</b:Guid>
    <b:Title>Sentencia No. 935-13-EP/19</b:Title>
    <b:CaseNumber>Caso No. a No. 935-13-EP/19</b:CaseNumber>
    <b:Court>Corte Constitucional del Ecuador</b:Court>
    <b:Year>2019</b:Year>
    <b:Month>Noviembre </b:Month>
    <b:Day>07</b:Day>
    <b:LCID>en-US</b:LCID>
    <b:Author>
      <b:Author>
        <b:Corporate>Corte Constitucional del Ecuador</b:Corporate>
      </b:Author>
    </b:Author>
    <b:City>Quito</b:City>
    <b:URL>https://portal.corteconstitucional.gob.ec/FichaRelatoria.aspx?numdocumento=935-13-EP/19</b:URL>
    <b:RefOrder>804</b:RefOrder>
  </b:Source>
  <b:Source>
    <b:Tag>Cód191</b:Tag>
    <b:SourceType>Book</b:SourceType>
    <b:Guid>{D544F7B7-2215-1749-81F8-95B9A91C9608}</b:Guid>
    <b:Author>
      <b:Author>
        <b:Corporate>Código Orgánico Integral Penal</b:Corporate>
      </b:Author>
    </b:Author>
    <b:Title>Código Orgánico Integral Penal</b:Title>
    <b:Year>2019</b:Year>
    <b:City>Quito</b:City>
    <b:Publisher>Asamblea Nacional</b:Publisher>
    <b:RefOrder>805</b:RefOrder>
  </b:Source>
  <b:Source>
    <b:Tag>Jua78</b:Tag>
    <b:SourceType>Book</b:SourceType>
    <b:Guid>{73DC351A-B779-4C40-85F1-C4967A7A8E7E}</b:Guid>
    <b:Author>
      <b:Author>
        <b:NameList>
          <b:Person>
            <b:Last>Larrea</b:Last>
            <b:First>Juan</b:First>
          </b:Person>
        </b:NameList>
      </b:Author>
    </b:Author>
    <b:Title>Derecho Civil del Ecuador</b:Title>
    <b:City>Quito</b:City>
    <b:Publisher>Corporación de estudios y publicaciones</b:Publisher>
    <b:Year>1978</b:Year>
    <b:RefOrder>806</b:RefOrder>
  </b:Source>
  <b:Source>
    <b:Tag>Vil18</b:Tag>
    <b:SourceType>JournalArticle</b:SourceType>
    <b:Guid>{3537B06A-D453-420F-8384-37651C024015}</b:Guid>
    <b:Title>El Control de Convencionalidad y su aplicación en el Ecuador</b:Title>
    <b:Year>2018</b:Year>
    <b:JournalName>Revista San Gregorio</b:JournalName>
    <b:Pages>85-91</b:Pages>
    <b:Author>
      <b:Author>
        <b:NameList>
          <b:Person>
            <b:Last>Villacis </b:Last>
            <b:First>Henrry</b:First>
          </b:Person>
        </b:NameList>
      </b:Author>
    </b:Author>
    <b:StandardNumber>ISSN 1390-7247</b:StandardNumber>
    <b:URL>https://revista.sangregorio.edu.ec/index.php/REVISTASANGREGORIO/article/view/501/10-HENRY</b:URL>
    <b:RefOrder>807</b:RefOrder>
  </b:Source>
  <b:Source>
    <b:Tag>Kot12</b:Tag>
    <b:SourceType>JournalArticle</b:SourceType>
    <b:Guid>{084DEE20-3369-4FF4-A8CD-34047F78C63B}</b:Guid>
    <b:Title>Vulnerabilidad entre derechos humanos y bióética. Relaciones tormentosas, conflictos insolutos</b:Title>
    <b:Year>2012</b:Year>
    <b:Author>
      <b:Author>
        <b:NameList>
          <b:Person>
            <b:Last>Kottow</b:Last>
            <b:First>Miguel</b:First>
          </b:Person>
        </b:NameList>
      </b:Author>
    </b:Author>
    <b:JournalName>Derecho PUCP</b:JournalName>
    <b:RefOrder>808</b:RefOrder>
  </b:Source>
  <b:Source>
    <b:Tag>Zal13</b:Tag>
    <b:SourceType>JournalArticle</b:SourceType>
    <b:Guid>{5788718D-ED4D-444C-8587-9F01DFE2C526}</b:Guid>
    <b:Title>Vulneración de derechos y alternativas de exigibilidad en salud comunitaria </b:Title>
    <b:Year>2013</b:Year>
    <b:Author>
      <b:Author>
        <b:NameList>
          <b:Person>
            <b:Last>Zaldúa</b:Last>
            <b:First>Graciela</b:First>
          </b:Person>
          <b:Person>
            <b:Last>et</b:Last>
            <b:First>al</b:First>
          </b:Person>
        </b:NameList>
      </b:Author>
    </b:Author>
    <b:JournalName>Scielo</b:JournalName>
    <b:RefOrder>809</b:RefOrder>
  </b:Source>
  <b:Source>
    <b:Tag>MarcadorDePosición54</b:Tag>
    <b:SourceType>Book</b:SourceType>
    <b:Guid>{C7B823DD-8EC0-444E-8CB0-C0C6E7B104DF}</b:Guid>
    <b:Author>
      <b:Author>
        <b:Corporate>Asamblea Constituyente</b:Corporate>
      </b:Author>
    </b:Author>
    <b:Title>Constitución de la República del Ecuador</b:Title>
    <b:Year>2008</b:Year>
    <b:RefOrder>810</b:RefOrder>
  </b:Source>
  <b:Source>
    <b:Tag>MarcadorDePosición55</b:Tag>
    <b:SourceType>Book</b:SourceType>
    <b:Guid>{054ACFD3-CED5-4041-A387-1F908510471D}</b:Guid>
    <b:Author>
      <b:Author>
        <b:Corporate>Asamblea Constituyente</b:Corporate>
      </b:Author>
    </b:Author>
    <b:Title>Constitución de la República del Ecuador</b:Title>
    <b:Year>2008</b:Year>
    <b:City>Alfaro</b:City>
    <b:RefOrder>811</b:RefOrder>
  </b:Source>
  <b:Source>
    <b:Tag>Min64</b:Tag>
    <b:SourceType>Book</b:SourceType>
    <b:Guid>{87CD1EE0-FF59-490F-A6CE-1F6C94D1E72C}</b:Guid>
    <b:Author>
      <b:Author>
        <b:Corporate>Ministerio de Defensa Nacional</b:Corporate>
      </b:Author>
    </b:Author>
    <b:Title>Ley de Personal de las Fuerzas Armadas</b:Title>
    <b:Year>1964</b:Year>
    <b:City>Quito</b:City>
    <b:RefOrder>812</b:RefOrder>
  </b:Source>
  <b:Source>
    <b:Tag>Asa16</b:Tag>
    <b:SourceType>DocumentFromInternetSite</b:SourceType>
    <b:Guid>{DACCACED-D842-435A-80D8-B174308D5C2C}</b:Guid>
    <b:Title>fielweb</b:Title>
    <b:Year>2016</b:Year>
    <b:Author>
      <b:Author>
        <b:Corporate>Asamblea Nacional</b:Corporate>
      </b:Author>
    </b:Author>
    <b:URL>https://www-fielweb-com.vpn.ucacue.edu.ec/Index.aspx?157Rabf6ik65998#app/buscador</b:URL>
    <b:RefOrder>813</b:RefOrder>
  </b:Source>
  <b:Source>
    <b:Tag>fie15</b:Tag>
    <b:SourceType>DocumentFromInternetSite</b:SourceType>
    <b:Guid>{E3367483-5860-4945-9DCA-37A96AA169D1}</b:Guid>
    <b:Title>fielweb</b:Title>
    <b:Year>2008</b:Year>
    <b:URL>https://www-fielweb-com.vpn.ucacue.edu.ec/Index.aspx?157Rabf6ik65998#app/buscador</b:URL>
    <b:Author>
      <b:Author>
        <b:Corporate>Ministerio de Defensa Nacional</b:Corporate>
      </b:Author>
    </b:Author>
    <b:RefOrder>814</b:RefOrder>
  </b:Source>
  <b:Source>
    <b:Tag>MarcadorDePosición56</b:Tag>
    <b:SourceType>Case</b:SourceType>
    <b:Guid>{E9B96E22-21E5-4089-A05D-70922A24E055}</b:Guid>
    <b:Title>Sentencia N.°004-18-SAN-CC </b:Title>
    <b:Year>2018</b:Year>
    <b:CaseNumber>0023-14-AN</b:CaseNumber>
    <b:Court>Corte Constitucional</b:Court>
    <b:RefOrder>815</b:RefOrder>
  </b:Source>
  <b:Source>
    <b:Tag>ElC98</b:Tag>
    <b:SourceType>Book</b:SourceType>
    <b:Guid>{48159367-7D76-45C7-85BF-CEA2249C4F1E}</b:Guid>
    <b:Title>Ley de Personal de la Policia Nacional</b:Title>
    <b:Year>1998</b:Year>
    <b:Author>
      <b:Author>
        <b:NameList>
          <b:Person>
            <b:Last>Nacional</b:Last>
            <b:First>El</b:First>
            <b:Middle>Cogreso</b:Middle>
          </b:Person>
        </b:NameList>
      </b:Author>
    </b:Author>
    <b:City>Quito</b:City>
    <b:RefOrder>816</b:RefOrder>
  </b:Source>
  <b:Source>
    <b:Tag>Con07</b:Tag>
    <b:SourceType>InternetSite</b:SourceType>
    <b:Guid>{460E28FA-EFF4-4242-AF7B-2286140FBA26}</b:Guid>
    <b:Year>2007</b:Year>
    <b:Author>
      <b:Author>
        <b:Corporate>Congreso de la República </b:Corporate>
      </b:Author>
    </b:Author>
    <b:RefOrder>817</b:RefOrder>
  </b:Source>
  <b:Source>
    <b:Tag>vle00</b:Tag>
    <b:SourceType>DocumentFromInternetSite</b:SourceType>
    <b:Guid>{5B33BFBD-D6A7-4215-A44C-459F1D791C44}</b:Guid>
    <b:Title>v/lex.com</b:Title>
    <b:Year>2000</b:Year>
    <b:Author>
      <b:Author>
        <b:NameList>
          <b:Person>
            <b:Last>v/lex</b:Last>
          </b:Person>
        </b:NameList>
      </b:Author>
    </b:Author>
    <b:Month>Septiembre</b:Month>
    <b:Day>14</b:Day>
    <b:URL>https://vlex.com.co/vid/regula-suboficiales-fuerzas-militares-60004145</b:URL>
    <b:RefOrder>818</b:RefOrder>
  </b:Source>
  <b:Source>
    <b:Tag>Pro08</b:Tag>
    <b:SourceType>Report</b:SourceType>
    <b:Guid>{F0954C1F-098E-4AD5-A657-7E4C57299AE2}</b:Guid>
    <b:Title>Pronunciamiento</b:Title>
    <b:Year>2008</b:Year>
    <b:City>Quito</b:City>
    <b:Author>
      <b:Author>
        <b:Corporate>Procuraduría General del Estado </b:Corporate>
      </b:Author>
    </b:Author>
    <b:RefOrder>819</b:RefOrder>
  </b:Source>
  <b:Source>
    <b:Tag>Arb14</b:Tag>
    <b:SourceType>JournalArticle</b:SourceType>
    <b:Guid>{A395070D-34F9-47AE-A99B-21983DCE5048}</b:Guid>
    <b:Title>Visión de la Corte Constitucional, respecto a los derechos de libertad de expresión e información: una relación desde el derecho al buen nombre, a la intimidad y a la honra</b:Title>
    <b:Year>2014</b:Year>
    <b:Author>
      <b:Author>
        <b:NameList>
          <b:Person>
            <b:Last>Arboleda López</b:Last>
            <b:First>Adriana</b:First>
          </b:Person>
        </b:NameList>
      </b:Author>
    </b:Author>
    <b:JournalName>Lasallista</b:JournalName>
    <b:RefOrder>820</b:RefOrder>
  </b:Source>
  <b:Source>
    <b:Tag>Ber06</b:Tag>
    <b:SourceType>Book</b:SourceType>
    <b:Guid>{44B3177B-A58B-40C3-8764-15FCF9BA4608}</b:Guid>
    <b:Title>Metodología de la Investigación</b:Title>
    <b:Year>2006</b:Year>
    <b:Author>
      <b:Author>
        <b:NameList>
          <b:Person>
            <b:Last>Bernal</b:Last>
            <b:First>César</b:First>
            <b:Middle>Augusto</b:Middle>
          </b:Person>
        </b:NameList>
      </b:Author>
    </b:Author>
    <b:Publisher>PEARSON EDUCACIÓN</b:Publisher>
    <b:Edition>Segunda edición </b:Edition>
    <b:RefOrder>821</b:RefOrder>
  </b:Source>
  <b:Source>
    <b:Tag>Fue17</b:Tag>
    <b:SourceType>DocumentFromInternetSite</b:SourceType>
    <b:Guid>{790E6C34-A1D6-44A9-B580-6A26DF4003A5}</b:Guid>
    <b:Author>
      <b:Author>
        <b:NameList>
          <b:Person>
            <b:Last>Narváez</b:Last>
            <b:First>Emperatriz</b:First>
          </b:Person>
        </b:NameList>
      </b:Author>
    </b:Author>
    <b:Title>Repositorio Universidad Técnica del Norte</b:Title>
    <b:Year>2017</b:Year>
    <b:URL>http://repositorio.utn.edu.ec/bitstream/123456789/7440/1/PG%20541%20TESIS.pdf</b:URL>
    <b:RefOrder>822</b:RefOrder>
  </b:Source>
  <b:Source>
    <b:Tag>Herco</b:Tag>
    <b:SourceType>JournalArticle</b:SourceType>
    <b:Guid>{96776476-E763-45FF-A314-38CF9C61E9EF}</b:Guid>
    <b:Author>
      <b:Author>
        <b:NameList>
          <b:Person>
            <b:Last>Hernández Díaz</b:Last>
            <b:First>N</b:First>
          </b:Person>
          <b:Person>
            <b:Last>Yelandy Leyva</b:Last>
            <b:First>M</b:First>
          </b:Person>
          <b:Person>
            <b:Last>Cuza García</b:Last>
            <b:First>B</b:First>
          </b:Person>
        </b:NameList>
      </b:Author>
    </b:Author>
    <b:Title>Mapas cognitivos difusos para la selección de proyectos de tecnologías de la Información.</b:Title>
    <b:JournalName>División de Investigación de la facultad de contaduría y  administración de la UNAM.</b:JournalName>
    <b:Year>2013</b:Year>
    <b:Pages>59</b:Pages>
    <b:City>Mexico</b:City>
    <b:RefOrder>823</b:RefOrder>
  </b:Source>
  <b:Source>
    <b:Tag>Nor10</b:Tag>
    <b:SourceType>JournalArticle</b:SourceType>
    <b:Guid>{CC674527-8B43-461C-994A-992EA2932455}</b:Guid>
    <b:Author>
      <b:Author>
        <b:NameList>
          <b:Person>
            <b:Last>Organización Internacional de Normalización</b:Last>
          </b:Person>
        </b:NameList>
      </b:Author>
    </b:Author>
    <b:Title>Gestión de Riesgos: Principios y Directrices</b:Title>
    <b:JournalName>Organización Internacional de Normalización</b:JournalName>
    <b:Year>2010</b:Year>
    <b:Pages>4</b:Pages>
    <b:City>Ginebra: ISO</b:City>
    <b:RefOrder>824</b:RefOrder>
  </b:Source>
  <b:Source>
    <b:Tag>Kie01</b:Tag>
    <b:SourceType>Book</b:SourceType>
    <b:Guid>{B1D38E63-C4A6-4F96-8592-FB9F283277ED}</b:Guid>
    <b:Title>Guia Para la Gestion Del Riesgo en proyectos de desarrollo rural</b:Title>
    <b:Year>2001</b:Year>
    <b:Author>
      <b:Author>
        <b:NameList>
          <b:Person>
            <b:Last>Kiesel</b:Last>
            <b:First>Carola</b:First>
          </b:Person>
        </b:NameList>
      </b:Author>
    </b:Author>
    <b:Publisher>Bib. Orton IICA / CATIE</b:Publisher>
    <b:RefOrder>825</b:RefOrder>
  </b:Source>
  <b:Source>
    <b:Tag>Chu11</b:Tag>
    <b:SourceType>Book</b:SourceType>
    <b:Guid>{E911C632-FCD2-4202-B37A-A118BE4511F1}</b:Guid>
    <b:Author>
      <b:Author>
        <b:NameList>
          <b:Person>
            <b:Last>Chuquisengo</b:Last>
          </b:Person>
        </b:NameList>
      </b:Author>
    </b:Author>
    <b:Title>“Guía de Gestión de Riesgos de Desastres.Aplicación Práctica”</b:Title>
    <b:Year>2011</b:Year>
    <b:City>Lima</b:City>
    <b:Publisher>Ministerio de Vivienda, Construcción y Saneamiento; BID; Soluciones Prácticas.</b:Publisher>
    <b:RefOrder>826</b:RefOrder>
  </b:Source>
  <b:Source>
    <b:Tag>Alb02</b:Tag>
    <b:SourceType>Book</b:SourceType>
    <b:Guid>{1D36496F-070E-4150-804E-88F936D884DE}</b:Guid>
    <b:Author>
      <b:Author>
        <b:NameList>
          <b:Person>
            <b:Last>Albarracin</b:Last>
            <b:First>Jorge</b:First>
          </b:Person>
        </b:NameList>
      </b:Author>
    </b:Author>
    <b:Title>La teoría del riesgo y el manejo del concepto riesgo en las sociedades agropecuarias</b:Title>
    <b:Year>2002</b:Year>
    <b:City>La Paz</b:City>
    <b:Publisher>CIDES-UMSA, Posgrado en Ciencias del Desarrollo </b:Publisher>
    <b:RefOrder>827</b:RefOrder>
  </b:Source>
  <b:Source>
    <b:Tag>Gar081</b:Tag>
    <b:SourceType>Book</b:SourceType>
    <b:Guid>{EAA54F60-DD11-41C8-9EC8-A491401CA8FF}</b:Guid>
    <b:Author>
      <b:Author>
        <b:NameList>
          <b:Person>
            <b:Last>García Sánchez</b:Last>
            <b:First>María</b:First>
            <b:Middle>Dolores</b:Middle>
          </b:Person>
        </b:NameList>
      </b:Author>
    </b:Author>
    <b:Title>Manual de marketing</b:Title>
    <b:Year>2008</b:Year>
    <b:City>Madrid-España</b:City>
    <b:Publisher>ESIC Editorial</b:Publisher>
    <b:RefOrder>828</b:RefOrder>
  </b:Source>
  <b:Source>
    <b:Tag>Fer04</b:Tag>
    <b:SourceType>Book</b:SourceType>
    <b:Guid>{0325A650-494D-49FB-9831-3DEDA153D42C}</b:Guid>
    <b:Title>Derecho y garantias. La ley del Mas debil</b:Title>
    <b:Year>2004</b:Year>
    <b:City>Madrid</b:City>
    <b:Publisher>Trotta</b:Publisher>
    <b:Author>
      <b:Author>
        <b:NameList>
          <b:Person>
            <b:Last>Ferrajoli</b:Last>
            <b:First>Luigi</b:First>
          </b:Person>
        </b:NameList>
      </b:Author>
    </b:Author>
    <b:RefOrder>829</b:RefOrder>
  </b:Source>
  <b:Source>
    <b:Tag>CID18</b:Tag>
    <b:SourceType>Book</b:SourceType>
    <b:Guid>{C82853ED-71A6-44DB-9CD5-61F39D504E5F}</b:Guid>
    <b:Title>Cuadernillo de jurisprudencia de la Corte Interamerica de los Derechos Humanos Nº 10 Integridad Personal</b:Title>
    <b:Year>2018</b:Year>
    <b:Author>
      <b:Author>
        <b:Corporate>CIDH</b:Corporate>
      </b:Author>
    </b:Author>
    <b:City>San Jose de Costa Rica</b:City>
    <b:Publisher>ONU</b:Publisher>
    <b:RefOrder>830</b:RefOrder>
  </b:Source>
  <b:Source>
    <b:Tag>Mor07</b:Tag>
    <b:SourceType>JournalArticle</b:SourceType>
    <b:Guid>{EF42DC4B-354B-47C7-87FA-87738F8C4EF3}</b:Guid>
    <b:Author>
      <b:Author>
        <b:NameList>
          <b:Person>
            <b:Last>Moreno</b:Last>
            <b:First>Rodolfo</b:First>
          </b:Person>
        </b:NameList>
      </b:Author>
    </b:Author>
    <b:Title>El modelo garantista de Luigi Ferrajoli. Lineamientos generales</b:Title>
    <b:JournalName>Boletín mexicano de derecho comparado</b:JournalName>
    <b:Year>2007</b:Year>
    <b:Volume>40</b:Volume>
    <b:Issue>120</b:Issue>
    <b:YearAccessed>2020</b:YearAccessed>
    <b:MonthAccessed>11</b:MonthAccessed>
    <b:DayAccessed>16</b:DayAccessed>
    <b:URL>http://www.scielo.org.mx/scielo.php?script=sci_arttext&amp;pid=S0041-86332007000300006</b:URL>
    <b:RefOrder>831</b:RefOrder>
  </b:Source>
  <b:Source>
    <b:Tag>MarcadorDePosición57</b:Tag>
    <b:SourceType>Book</b:SourceType>
    <b:Guid>{045FE113-F626-457C-91B8-5C85FA298181}</b:Guid>
    <b:Title>Algunas  consideraciones  sobre  el  derecho  de  resistencia:  insurrección,  resistencia  y desobediencia  civil</b:Title>
    <b:Year>2016</b:Year>
    <b:City>Madrid</b:City>
    <b:Publisher> Tirant  lo  Blanch</b:Publisher>
    <b:Author>
      <b:Author>
        <b:NameList>
          <b:Person>
            <b:Last>López</b:Last>
            <b:First>Luis</b:First>
          </b:Person>
        </b:NameList>
      </b:Author>
    </b:Author>
    <b:RefOrder>832</b:RefOrder>
  </b:Source>
  <b:Source>
    <b:Tag>Kau17</b:Tag>
    <b:SourceType>JournalArticle</b:SourceType>
    <b:Guid>{5572B3B0-3F38-4369-81EB-33B4B79608DA}</b:Guid>
    <b:Title>La  validez  del  derecho.  Derecho  de  Resistencia.  Desobediencia  civil</b:Title>
    <b:Year>2017</b:Year>
    <b:Publisher>UEC</b:Publisher>
    <b:Author>
      <b:Author>
        <b:NameList>
          <b:Person>
            <b:Last>Kauffman</b:Last>
            <b:First>Arthur</b:First>
          </b:Person>
        </b:NameList>
      </b:Author>
    </b:Author>
    <b:JournalName>Universidad  Externado  de  Colombia</b:JournalName>
    <b:Pages>376-378</b:Pages>
    <b:RefOrder>833</b:RefOrder>
  </b:Source>
  <b:Source>
    <b:Tag>Ori18</b:Tag>
    <b:SourceType>JournalArticle</b:SourceType>
    <b:Guid>{98DCD4B4-2BBC-4293-BF1D-32F7083CF86C}</b:Guid>
    <b:Title>La  paradoja  kantiana  de  la  resistencia  al  poder </b:Title>
    <b:JournalName>Revista  de  Ciencias  Jurídicas</b:JournalName>
    <b:Year>2018</b:Year>
    <b:Pages>35-52</b:Pages>
    <b:Author>
      <b:Author>
        <b:NameList>
          <b:Person>
            <b:Last>Oriester </b:Last>
            <b:First>Abarca</b:First>
          </b:Person>
        </b:NameList>
      </b:Author>
    </b:Author>
    <b:RefOrder>834</b:RefOrder>
  </b:Source>
  <b:Source>
    <b:Tag>Pec16</b:Tag>
    <b:SourceType>Book</b:SourceType>
    <b:Guid>{3D34F9D7-E41A-4523-BB30-3C30E0AB25B2}</b:Guid>
    <b:Title>“Desobediencia  civil  y  objeción  de  conciencia”.  Derecho  y  Derechos  Fundamentales.</b:Title>
    <b:Year>2016</b:Year>
    <b:City>Madrid</b:City>
    <b:Publisher>CEC</b:Publisher>
    <b:Author>
      <b:Author>
        <b:NameList>
          <b:Person>
            <b:Last>Peces</b:Last>
            <b:First>G</b:First>
          </b:Person>
        </b:NameList>
      </b:Author>
    </b:Author>
    <b:RefOrder>835</b:RefOrder>
  </b:Source>
  <b:Source>
    <b:Tag>MarcadorDePosición58</b:Tag>
    <b:SourceType>Book</b:SourceType>
    <b:Guid>{41F1CFA2-58DB-4359-9636-57797BEDF28C}</b:Guid>
    <b:Title>El derecho a la resistencia en el Ecuadoren la Teoría del Campo Jurídico</b:Title>
    <b:Year>2017</b:Year>
    <b:City>Quito</b:City>
    <b:Publisher>Pontificia Universidad Católica del Ecuador</b:Publisher>
    <b:Author>
      <b:Author>
        <b:NameList>
          <b:Person>
            <b:Last>Andrade</b:Last>
            <b:First>Francis</b:First>
          </b:Person>
        </b:NameList>
      </b:Author>
    </b:Author>
    <b:RefOrder>836</b:RefOrder>
  </b:Source>
  <b:Source>
    <b:Tag>Pei15</b:Tag>
    <b:SourceType>Book</b:SourceType>
    <b:Guid>{36F97D7A-BE5A-4F84-A926-59080EEC5DE9}</b:Guid>
    <b:Title>Derecho a la resistencia</b:Title>
    <b:Year>2015</b:Year>
    <b:Publisher>214</b:Publisher>
    <b:Author>
      <b:Author>
        <b:NameList>
          <b:Person>
            <b:Last>Peirano</b:Last>
            <b:First>José</b:First>
          </b:Person>
        </b:NameList>
      </b:Author>
    </b:Author>
    <b:RefOrder>837</b:RefOrder>
  </b:Source>
  <b:Source>
    <b:Tag>MarcadorDePosición59</b:Tag>
    <b:SourceType>Book</b:SourceType>
    <b:Guid>{6A9B4259-081D-4577-AFB0-9892E2BB75F0}</b:Guid>
    <b:Author>
      <b:Author>
        <b:Corporate>Asamblea Nacional</b:Corporate>
      </b:Author>
    </b:Author>
    <b:Title>Constitucion de la Republica del Ecuador</b:Title>
    <b:Year>2008</b:Year>
    <b:City>Montecristi</b:City>
    <b:Publisher>Registro Oficial 449 de 20-oct-2008</b:Publisher>
    <b:RefOrder>838</b:RefOrder>
  </b:Source>
  <b:Source>
    <b:Tag>MarcadorDePosición60</b:Tag>
    <b:SourceType>Book</b:SourceType>
    <b:Guid>{D7EBB288-4EF7-4116-98B2-D8BC88807467}</b:Guid>
    <b:Title>Los  derechos  y  la  seguridad  jurídica</b:Title>
    <b:Year>2017</b:Year>
    <b:City>México</b:City>
    <b:Publisher>Universidad  Nacional  Autónoma  de  México</b:Publisher>
    <b:Author>
      <b:Author>
        <b:NameList>
          <b:Person>
            <b:Last>Carbonell</b:Last>
            <b:First>Mario</b:First>
          </b:Person>
        </b:NameList>
      </b:Author>
    </b:Author>
    <b:RefOrder>839</b:RefOrder>
  </b:Source>
  <b:Source>
    <b:Tag>Her172</b:Tag>
    <b:SourceType>Book</b:SourceType>
    <b:Guid>{A1C3ED7F-A91A-46BE-BB9E-DAD86A92B25E}</b:Guid>
    <b:Title>Derecho constitucional a la resistencia </b:Title>
    <b:Year>2017</b:Year>
    <b:City>Quito</b:City>
    <b:Publisher>CEP</b:Publisher>
    <b:Author>
      <b:Author>
        <b:NameList>
          <b:Person>
            <b:Last>Hernandez</b:Last>
            <b:First>M</b:First>
          </b:Person>
        </b:NameList>
      </b:Author>
    </b:Author>
    <b:RefOrder>840</b:RefOrder>
  </b:Source>
  <b:Source>
    <b:Tag>Gon131</b:Tag>
    <b:SourceType>Book</b:SourceType>
    <b:Guid>{618B4557-489F-4494-A688-D2CF56AF333A}</b:Guid>
    <b:Title>Derecho Constitucional General</b:Title>
    <b:Year>2013</b:Year>
    <b:City>Lima</b:City>
    <b:Publisher>Universidad Ricardo Palma</b:Publisher>
    <b:Author>
      <b:Author>
        <b:NameList>
          <b:Person>
            <b:Last>Gonzáles</b:Last>
            <b:First>Ojeda</b:First>
          </b:Person>
        </b:NameList>
      </b:Author>
    </b:Author>
    <b:RefOrder>841</b:RefOrder>
  </b:Source>
  <b:Source>
    <b:Tag>Pér16</b:Tag>
    <b:SourceType>JournalArticle</b:SourceType>
    <b:Guid>{E24C863D-736C-4953-AAB6-3B27FA1A3BA8}</b:Guid>
    <b:Author>
      <b:Author>
        <b:NameList>
          <b:Person>
            <b:Last>Pérez</b:Last>
            <b:First>Luis</b:First>
            <b:Middle>Alberto</b:Middle>
          </b:Person>
        </b:NameList>
      </b:Author>
    </b:Author>
    <b:Title>La resistencia política como derecho fundamental. Reflexiones a propósito de los cien años de la Constitución mexicana</b:Title>
    <b:JournalName>Revista IUS</b:JournalName>
    <b:Year>2016</b:Year>
    <b:Volume>10</b:Volume>
    <b:Issue>38</b:Issue>
    <b:YearAccessed>2020</b:YearAccessed>
    <b:MonthAccessed>11</b:MonthAccessed>
    <b:DayAccessed>16</b:DayAccessed>
    <b:URL>http://www.scielo.org.mx/scielo.php?script=sci_arttext&amp;pid=S1870-21472016000200004</b:URL>
    <b:RefOrder>842</b:RefOrder>
  </b:Source>
  <b:Source>
    <b:Tag>Gar175</b:Tag>
    <b:SourceType>Book</b:SourceType>
    <b:Guid>{6FD36281-8387-4289-885A-DC2622720A47}</b:Guid>
    <b:Title>La justicia frente al gobierno </b:Title>
    <b:Year>2017</b:Year>
    <b:City>Buenos Aires</b:City>
    <b:Publisher>Ariel</b:Publisher>
    <b:Author>
      <b:Author>
        <b:NameList>
          <b:Person>
            <b:Last>Gargarella</b:Last>
            <b:First>Roberto</b:First>
          </b:Person>
        </b:NameList>
      </b:Author>
    </b:Author>
    <b:RefOrder>843</b:RefOrder>
  </b:Source>
  <b:Source>
    <b:Tag>Zag18</b:Tag>
    <b:SourceType>Book</b:SourceType>
    <b:Guid>{763E52D5-C730-4A9A-A984-B0E88EB51AB5}</b:Guid>
    <b:Title>Manual de Derecho Constitucional</b:Title>
    <b:Year>2018</b:Year>
    <b:City>Lima</b:City>
    <b:Publisher>Pichu</b:Publisher>
    <b:Author>
      <b:Author>
        <b:NameList>
          <b:Person>
            <b:Last>Zagrebelsky</b:Last>
            <b:First>Gustavo</b:First>
          </b:Person>
        </b:NameList>
      </b:Author>
    </b:Author>
    <b:RefOrder>844</b:RefOrder>
  </b:Source>
  <b:Source>
    <b:Tag>MarcadorDePosición61</b:Tag>
    <b:SourceType>Report</b:SourceType>
    <b:Guid>{9DE80E37-7830-4A93-AE21-14619D23A4C1}</b:Guid>
    <b:Author>
      <b:Author>
        <b:NameList>
          <b:Person>
            <b:Last>Meneses </b:Last>
            <b:First>Carlos</b:First>
          </b:Person>
        </b:NameList>
      </b:Author>
    </b:Author>
    <b:Title>El derecho a la resistencia como límite a la criminalización de la protesta social</b:Title>
    <b:Year>2019</b:Year>
    <b:City>Quito</b:City>
    <b:RefOrder>845</b:RefOrder>
  </b:Source>
  <b:Source>
    <b:Tag>Ram</b:Tag>
    <b:SourceType>JournalArticle</b:SourceType>
    <b:Guid>{9BCFEBF2-17AF-4750-8490-6B04ACEA3A68}</b:Guid>
    <b:Author>
      <b:Author>
        <b:NameList>
          <b:Person>
            <b:Last>Ramos </b:Last>
            <b:First>José</b:First>
          </b:Person>
        </b:NameList>
      </b:Author>
    </b:Author>
    <b:Title>Imprecisiones respecto alDerecho a la Resistencia en el Ecuador</b:Title>
    <b:JournalName>Law Review</b:JournalName>
    <b:Year>2018</b:Year>
    <b:Pages>45-56</b:Pages>
    <b:RefOrder>846</b:RefOrder>
  </b:Source>
  <b:Source>
    <b:Tag>Baq15</b:Tag>
    <b:SourceType>Book</b:SourceType>
    <b:Guid>{32DEAA1F-522A-4D0C-B242-445AAB32F823}</b:Guid>
    <b:Title>Metodología de la Investigación Jurídica</b:Title>
    <b:Year>2015</b:Year>
    <b:City>Quito</b:City>
    <b:Publisher>CEP</b:Publisher>
    <b:Author>
      <b:Author>
        <b:NameList>
          <b:Person>
            <b:Last>Baquero de la Calle</b:Last>
            <b:First>J</b:First>
          </b:Person>
        </b:NameList>
      </b:Author>
    </b:Author>
    <b:RefOrder>847</b:RefOrder>
  </b:Source>
  <b:Source>
    <b:Tag>You16</b:Tag>
    <b:SourceType>Book</b:SourceType>
    <b:Guid>{E9186727-6D32-4B3B-B255-68F70B50BC8C}</b:Guid>
    <b:Title>Derecho Constitucional Colombiano</b:Title>
    <b:Year>2016</b:Year>
    <b:City>Bogota</b:City>
    <b:Publisher>Legis</b:Publisher>
    <b:Author>
      <b:Author>
        <b:NameList>
          <b:Person>
            <b:Last>Younes</b:Last>
            <b:First>Diego</b:First>
          </b:Person>
        </b:NameList>
      </b:Author>
    </b:Author>
    <b:RefOrder>848</b:RefOrder>
  </b:Source>
  <b:Source>
    <b:Tag>MarcadorDePosición62</b:Tag>
    <b:SourceType>JournalArticle</b:SourceType>
    <b:Guid>{E585169E-0E31-4C87-9020-43F76D5D064C}</b:Guid>
    <b:Author>
      <b:Author>
        <b:NameList>
          <b:Person>
            <b:Last>Gonzalez</b:Last>
            <b:First>Miguel</b:First>
          </b:Person>
        </b:NameList>
      </b:Author>
    </b:Author>
    <b:Title>El significado de Constitución. Breve revisión del concepto y de su relevancia a la luz del principialismo y el garantismo</b:Title>
    <b:JournalName>Polis</b:JournalName>
    <b:Year>2018</b:Year>
    <b:Volume>14</b:Volume>
    <b:Issue>01</b:Issue>
    <b:YearAccessed>2020</b:YearAccessed>
    <b:MonthAccessed>11</b:MonthAccessed>
    <b:DayAccessed>16</b:DayAccessed>
    <b:URL>http://www.scielo.org.mx/scielo.php?script=sci_arttext&amp;pid=S1870-23332018000100043</b:URL>
    <b:RefOrder>849</b:RefOrder>
  </b:Source>
  <b:Source>
    <b:Tag>MarcadorDePosición63</b:Tag>
    <b:SourceType>Book</b:SourceType>
    <b:Guid>{2442189B-75DE-4334-92A1-49BA1B95D6EE}</b:Guid>
    <b:Title>Derecho Constitucional</b:Title>
    <b:Year>2017</b:Year>
    <b:City>Mexico</b:City>
    <b:Publisher>Oxford</b:Publisher>
    <b:Author>
      <b:Author>
        <b:NameList>
          <b:Person>
            <b:Last>Arteaga</b:Last>
            <b:First>Elisur</b:First>
          </b:Person>
        </b:NameList>
      </b:Author>
    </b:Author>
    <b:RefOrder>850</b:RefOrder>
  </b:Source>
  <b:Source>
    <b:Tag>Ben17</b:Tag>
    <b:SourceType>Book</b:SourceType>
    <b:Guid>{AF3359FC-B8B6-477F-9961-B67A26336842}</b:Guid>
    <b:Title>Manual de Derecho Constitucional</b:Title>
    <b:Year>2017</b:Year>
    <b:City>Madrid</b:City>
    <b:Publisher>Marcial Pons</b:Publisher>
    <b:Author>
      <b:Author>
        <b:NameList>
          <b:Person>
            <b:Last>Benda</b:Last>
            <b:First>Ernesto</b:First>
          </b:Person>
        </b:NameList>
      </b:Author>
    </b:Author>
    <b:RefOrder>851</b:RefOrder>
  </b:Source>
  <b:Source>
    <b:Tag>Rou16</b:Tag>
    <b:SourceType>Book</b:SourceType>
    <b:Guid>{BEE7112A-F32A-43B1-9B75-9CB296F5D65C}</b:Guid>
    <b:Title>El Contrato Social (Spanish Edition)</b:Title>
    <b:Year>2016</b:Year>
    <b:City>Madrid</b:City>
    <b:Publisher>Porrua</b:Publisher>
    <b:Author>
      <b:Author>
        <b:NameList>
          <b:Person>
            <b:Last>Rousseau</b:Last>
            <b:First>Jean</b:First>
          </b:Person>
        </b:NameList>
      </b:Author>
    </b:Author>
    <b:RefOrder>852</b:RefOrder>
  </b:Source>
  <b:Source>
    <b:Tag>Alv</b:Tag>
    <b:SourceType>JournalArticle</b:SourceType>
    <b:Guid>{19B2EBB9-72C5-4761-9BD1-5AC953DF778F}</b:Guid>
    <b:Title>Como hacer investigaciones cualitativas</b:Title>
    <b:Author>
      <b:Author>
        <b:NameList>
          <b:Person>
            <b:Last>Alvarez</b:Last>
            <b:First>Luis</b:First>
          </b:Person>
        </b:NameList>
      </b:Author>
    </b:Author>
    <b:Year>2016</b:Year>
    <b:Month>11</b:Month>
    <b:Day>07</b:Day>
    <b:JournalName>Innovacion Educativa</b:JournalName>
    <b:Pages>34-35</b:Pages>
    <b:RefOrder>853</b:RefOrder>
  </b:Source>
  <b:Source>
    <b:Tag>Esc18</b:Tag>
    <b:SourceType>Book</b:SourceType>
    <b:Guid>{ED657CB5-403C-41B0-924D-A92C4FDF0AF1}</b:Guid>
    <b:Title>Técnicas y Métodos Cualitativos para la Investigacion Cientifica</b:Title>
    <b:Year>2018</b:Year>
    <b:City>Machala</b:City>
    <b:Publisher>UTMACH</b:Publisher>
    <b:Author>
      <b:Author>
        <b:NameList>
          <b:Person>
            <b:Last>Escudero</b:Last>
            <b:First>Carlos</b:First>
          </b:Person>
        </b:NameList>
      </b:Author>
    </b:Author>
    <b:RefOrder>854</b:RefOrder>
  </b:Source>
  <b:Source>
    <b:Tag>Sal09</b:Tag>
    <b:SourceType>JournalArticle</b:SourceType>
    <b:Guid>{A8E6E3B7-B9C9-4454-93A1-6B4E4BDC4928}</b:Guid>
    <b:Title>Debate sobre la utilidad de la metodologia jurídica: una reconstrucción critica de las actuales corrientesmetodolofgicas en la teoria del derecho</b:Title>
    <b:Year>2017</b:Year>
    <b:Author>
      <b:Author>
        <b:NameList>
          <b:Person>
            <b:Last>Salas</b:Last>
            <b:First>Minor</b:First>
          </b:Person>
        </b:NameList>
      </b:Author>
    </b:Author>
    <b:JournalName>Revista telematica de filosofia del derecho</b:JournalName>
    <b:Pages>205-231</b:Pages>
    <b:RefOrder>855</b:RefOrder>
  </b:Source>
  <b:Source>
    <b:Tag>Rom16</b:Tag>
    <b:SourceType>Book</b:SourceType>
    <b:Guid>{BE08DA4F-F67D-4E69-BA2A-76921731B91B}</b:Guid>
    <b:Title>Metodología de investigacion jurídica</b:Title>
    <b:Year>2016</b:Year>
    <b:City>Madrid</b:City>
    <b:Publisher>Ediciones de la Universidad de Castilla -La Mancha</b:Publisher>
    <b:Author>
      <b:Author>
        <b:NameList>
          <b:Person>
            <b:Last>Romero</b:Last>
            <b:First>Luis</b:First>
          </b:Person>
        </b:NameList>
      </b:Author>
    </b:Author>
    <b:RefOrder>856</b:RefOrder>
  </b:Source>
  <b:Source>
    <b:Tag>MarcadorDePosición64</b:Tag>
    <b:SourceType>Book</b:SourceType>
    <b:Guid>{1BA6AF29-ACD2-49A6-854F-00C7EF07EC62}</b:Guid>
    <b:Title>Metodología y Tecnica de la Investigación Jurídica </b:Title>
    <b:Year>2016</b:Year>
    <b:City>Bogota</b:City>
    <b:Publisher>Temis</b:Publisher>
    <b:Author>
      <b:Author>
        <b:NameList>
          <b:Person>
            <b:Last>Pérez</b:Last>
            <b:First>J</b:First>
          </b:Person>
        </b:NameList>
      </b:Author>
    </b:Author>
    <b:RefOrder>857</b:RefOrder>
  </b:Source>
  <b:Source>
    <b:Tag>Her141</b:Tag>
    <b:SourceType>Book</b:SourceType>
    <b:Guid>{17FCBA5F-3611-4594-BB96-A544101D76F3}</b:Guid>
    <b:Title>Metodologia de la investigacion</b:Title>
    <b:Year>2014</b:Year>
    <b:City>Mexico</b:City>
    <b:Publisher>Mc Graw Hill</b:Publisher>
    <b:Author>
      <b:Author>
        <b:NameList>
          <b:Person>
            <b:Last>Hernandez</b:Last>
            <b:First>Roberto</b:First>
          </b:Person>
          <b:Person>
            <b:Last>Fernandez</b:Last>
            <b:First>Carlos</b:First>
          </b:Person>
          <b:Person>
            <b:Last>Baptista</b:Last>
            <b:First>Pilar</b:First>
          </b:Person>
        </b:NameList>
      </b:Author>
    </b:Author>
    <b:RefOrder>858</b:RefOrder>
  </b:Source>
  <b:Source>
    <b:Tag>Ari07</b:Tag>
    <b:SourceType>Book</b:SourceType>
    <b:Guid>{1C5ED1DF-0CD4-4EF5-B67E-EAE4469DDE87}</b:Guid>
    <b:Title>Metodología de la investigacion jurídica</b:Title>
    <b:Year>2007</b:Year>
    <b:City>México</b:City>
    <b:Publisher>Porrua</b:Publisher>
    <b:Author>
      <b:Author>
        <b:NameList>
          <b:Person>
            <b:Last>Arilla</b:Last>
            <b:First>Fernando</b:First>
          </b:Person>
        </b:NameList>
      </b:Author>
    </b:Author>
    <b:RefOrder>859</b:RefOrder>
  </b:Source>
  <b:Source>
    <b:Tag>Man151</b:Tag>
    <b:SourceType>Misc</b:SourceType>
    <b:Guid>{C5E95DC6-5379-42F3-B38A-481167B561F7}</b:Guid>
    <b:Title>El principio de progresividad en el ordenamiento constitucional mexicano</b:Title>
    <b:PublicationTitle>Cuestiones Constitucionales</b:PublicationTitle>
    <b:Year>2015</b:Year>
    <b:Month>12</b:Month>
    <b:City>Mexico</b:City>
    <b:CountryRegion>Mexico</b:CountryRegion>
    <b:Publisher>B. J. UNAM, Ed.</b:Publisher>
    <b:Author>
      <b:Author>
        <b:NameList>
          <b:Person>
            <b:Last>Mancilla  Castro</b:Last>
            <b:Middle>Gustavo</b:Middle>
            <b:First>Roberto</b:First>
          </b:Person>
        </b:NameList>
      </b:Author>
    </b:Author>
    <b:YearAccessed>2021</b:YearAccessed>
    <b:MonthAccessed>09</b:MonthAccessed>
    <b:DayAccessed>4</b:DayAccessed>
    <b:URL>http://www.scielo.org.mx/pdf/cconst/n33/n33a4.pdf</b:URL>
    <b:RefOrder>860</b:RefOrder>
  </b:Source>
  <b:Source>
    <b:Tag>MCa11</b:Tag>
    <b:SourceType>Misc</b:SourceType>
    <b:Guid>{B04E5934-B4E9-450C-8B4A-81C02405D99D}</b:Guid>
    <b:Author>
      <b:Author>
        <b:NameList>
          <b:Person>
            <b:Last>Castañeda Hernandez</b:Last>
            <b:First>Mireya</b:First>
          </b:Person>
        </b:NameList>
      </b:Author>
    </b:Author>
    <b:Title>Crónica de la reforma constitucional en materia de derechos humanos en México.</b:Title>
    <b:PublicationTitle>Revista del Centro Nacional de Derechos Humanos(17</b:PublicationTitle>
    <b:Year>2011</b:Year>
    <b:CountryRegion>Mexico</b:CountryRegion>
    <b:YearAccessed>2021</b:YearAccessed>
    <b:MonthAccessed>09</b:MonthAccessed>
    <b:DayAccessed>04</b:DayAccessed>
    <b:RefOrder>861</b:RefOrder>
  </b:Source>
  <b:Source>
    <b:Tag>Nei21</b:Tag>
    <b:SourceType>Misc</b:SourceType>
    <b:Guid>{21769EDA-E5C2-4540-BE93-87C7F861FA97}</b:Guid>
    <b:Title>Principio de progresividad de los derechos en el activismo jurisdiccional de la Corte Constitucional de la República del Ecuador, en el año 2019.</b:Title>
    <b:Year>2021</b:Year>
    <b:Month>05</b:Month>
    <b:Day>28</b:Day>
    <b:City>Guayaquil</b:City>
    <b:StateProvince>Guayas</b:StateProvince>
    <b:CountryRegion>Ecuador</b:CountryRegion>
    <b:Author>
      <b:Author>
        <b:NameList>
          <b:Person>
            <b:Last>Neira González</b:Last>
            <b:Middle>José</b:Middle>
            <b:First>María</b:First>
          </b:Person>
        </b:NameList>
      </b:Author>
    </b:Author>
    <b:Pages>86</b:Pages>
    <b:YearAccessed>2021</b:YearAccessed>
    <b:MonthAccessed>09</b:MonthAccessed>
    <b:DayAccessed>03</b:DayAccessed>
    <b:URL>http://201.159.223.180/handle/3317/16485</b:URL>
    <b:RefOrder>862</b:RefOrder>
  </b:Source>
  <b:Source>
    <b:Tag>Gen48</b:Tag>
    <b:SourceType>Misc</b:SourceType>
    <b:Guid>{619D6A04-AB24-4F15-9EF9-E152B7A4BB11}</b:Guid>
    <b:Author>
      <b:Author>
        <b:NameList>
          <b:Person>
            <b:Last>General</b:Last>
            <b:First>Asamblea</b:First>
          </b:Person>
        </b:NameList>
      </b:Author>
    </b:Author>
    <b:Title>Declaración Universal de Derechos Humanos</b:Title>
    <b:Year>1948</b:Year>
    <b:Month>12</b:Month>
    <b:Day>10</b:Day>
    <b:CountryRegion>Paris</b:CountryRegion>
    <b:Pages>9</b:Pages>
    <b:Comments>Adoptada y proclamada por la Asamblea General en su resolución 217 A (III), de 10 de diciembre de 1948</b:Comments>
    <b:YearAccessed>2021</b:YearAccessed>
    <b:MonthAccessed>09</b:MonthAccessed>
    <b:DayAccessed>04</b:DayAccessed>
    <b:URL>https://www.un.org/es/about-us/universal-declaration-of-human-rights</b:URL>
    <b:RefOrder>863</b:RefOrder>
  </b:Source>
  <b:Source>
    <b:Tag>Nac081</b:Tag>
    <b:SourceType>Misc</b:SourceType>
    <b:Guid>{C40FC570-F021-49B8-99DD-CBD0E70D32EA}</b:Guid>
    <b:Author>
      <b:Author>
        <b:NameList>
          <b:Person>
            <b:Last>Nacional</b:Last>
            <b:First>Asamblea</b:First>
          </b:Person>
        </b:NameList>
      </b:Author>
    </b:Author>
    <b:Title>Constitución de la República del Ecuador</b:Title>
    <b:Year>2008</b:Year>
    <b:Month>10</b:Month>
    <b:Day>20</b:Day>
    <b:CountryRegion>Ecuador</b:CountryRegion>
    <b:Publisher>LEXIS</b:Publisher>
    <b:Medium>Ultima modificación: 13-jul-2011</b:Medium>
    <b:Pages>136</b:Pages>
    <b:Comments>Registro Oficial 449 de 20-oct-2008</b:Comments>
    <b:YearAccessed>2021</b:YearAccessed>
    <b:MonthAccessed>09</b:MonthAccessed>
    <b:DayAccessed>04</b:DayAccessed>
    <b:RefOrder>864</b:RefOrder>
  </b:Source>
  <b:Source>
    <b:Tag>Nac21</b:Tag>
    <b:SourceType>Misc</b:SourceType>
    <b:Guid>{44D15390-7E4A-4182-AF55-6998B5CC44DF}</b:Guid>
    <b:Author>
      <b:Author>
        <b:NameList>
          <b:Person>
            <b:Last>Nacional</b:Last>
            <b:First>Asamblea</b:First>
          </b:Person>
        </b:NameList>
      </b:Author>
    </b:Author>
    <b:Title>Ley Orgánica de garantias jurisdiccionales y control constitucional</b:Title>
    <b:CountryRegion>Ecuador</b:CountryRegion>
    <b:YearAccessed>2021</b:YearAccessed>
    <b:MonthAccessed>09</b:MonthAccessed>
    <b:DayAccessed>04</b:DayAccessed>
    <b:URL>https://vlex.ec/vid/ley-organica-garantias-jurisdiccionales-643461681</b:URL>
    <b:Year>2020</b:Year>
    <b:Month>02</b:Month>
    <b:Day>03</b:Day>
    <b:Medium>https://www.derechoecuador.com/ley-organica-de-garantias-jurisdiccionales-y-control-constitucional</b:Medium>
    <b:Comments>Registro Oficial Suplemento 52 de 22-oct.-2009/ Ultima modificación: 03-feb.-2020</b:Comments>
    <b:RefOrder>865</b:RefOrder>
  </b:Source>
  <b:Source>
    <b:Tag>Cor181</b:Tag>
    <b:SourceType>Case</b:SourceType>
    <b:Guid>{28954D69-4468-41FF-B362-522A0B6AAAD7}</b:Guid>
    <b:Title>Sentencia  N.° 002-18-SIN-CC</b:Title>
    <b:CaseNumber>N.° 002-18-SIN-CC</b:CaseNumber>
    <b:Court>Pleno de la Corte Constitucional</b:Court>
    <b:Year>2018</b:Year>
    <b:Month>03</b:Month>
    <b:Day>21</b:Day>
    <b:Reporter>0035-15-IN. 0029-15-IN. 0032-15-IN. 0034-15-IN, 0095-15-IN v</b:Reporter>
    <b:City>Quito</b:City>
    <b:Comments>CASOS N.° 0035-15-IN. 0029-15-IN. 0032-15-IN. 0034-15-IN, 0095-15-IN v</b:Comments>
    <b:YearAccessed>2021</b:YearAccessed>
    <b:MonthAccessed>09</b:MonthAccessed>
    <b:DayAccessed>06</b:DayAccessed>
    <b:URL>https://portal.corteconstitucional.gob.ec/FichaRelatoria.aspx?numdocumento=002-18-SIN-CC</b:URL>
    <b:RefOrder>866</b:RefOrder>
  </b:Source>
  <b:Source>
    <b:Tag>Gen66</b:Tag>
    <b:SourceType>Misc</b:SourceType>
    <b:Guid>{5835E0E4-31C6-46EF-BF6E-0CCD9DB88EE8}</b:Guid>
    <b:Author>
      <b:Author>
        <b:NameList>
          <b:Person>
            <b:Last>General</b:Last>
            <b:First>Asamblea</b:First>
          </b:Person>
        </b:NameList>
      </b:Author>
    </b:Author>
    <b:Title>Pacto Internacional de Derechos Económicos, Sociales y Culturales</b:Title>
    <b:PublicationTitle>Asamblea General en su resolución 2200 A (XXI)</b:PublicationTitle>
    <b:Year>1966</b:Year>
    <b:Month>12</b:Month>
    <b:Day>16</b:Day>
    <b:Comments>Entrada en vigor: 3 de enero de 1976, de conformidad con el artículo 27 </b:Comments>
    <b:YearAccessed>2021</b:YearAccessed>
    <b:MonthAccessed>09</b:MonthAccessed>
    <b:DayAccessed>03</b:DayAccessed>
    <b:URL>https://www.ohchr.org/sp/professionalinterest/pages/cescr.aspx</b:URL>
    <b:RefOrder>867</b:RefOrder>
  </b:Source>
  <b:Source>
    <b:Tag>B3269</b:Tag>
    <b:SourceType>Misc</b:SourceType>
    <b:Guid>{5910CAF7-C782-4EE8-B342-B6E702B3547F}</b:Guid>
    <b:Author>
      <b:Author>
        <b:NameList>
          <b:Person>
            <b:Last>(B-32)</b:Last>
            <b:First>Convención</b:First>
            <b:Middle>Americana Sobre Derechos Humanos Suscrita En La Conferencia Especializada Interamericana Sobre Derechos Humanos</b:Middle>
          </b:Person>
        </b:NameList>
      </b:Author>
    </b:Author>
    <b:Title>Convención Americana Sobre Derechos Humanos (Pacto De San José)</b:Title>
    <b:Year>1969</b:Year>
    <b:Month>11</b:Month>
    <b:Day>22</b:Day>
    <b:CountryRegion>Costa Rica</b:CountryRegion>
    <b:Comments>San José, Costa Rica  7 al 22 de noviembre de 1969</b:Comments>
    <b:YearAccessed>2021</b:YearAccessed>
    <b:MonthAccessed>09</b:MonthAccessed>
    <b:DayAccessed>04</b:DayAccessed>
    <b:URL>https://www.oas.org/dil/esp/tratados_b-32_convencion_americana_sobre_derechos_humanos.htm</b:URL>
    <b:RefOrder>868</b:RefOrder>
  </b:Source>
  <b:Source>
    <b:Tag>Nac20</b:Tag>
    <b:SourceType>Misc</b:SourceType>
    <b:Guid>{730EC413-CEAB-4873-9229-8851EE66CDA0}</b:Guid>
    <b:Author>
      <b:Author>
        <b:NameList>
          <b:Person>
            <b:Last>Nacional</b:Last>
            <b:First>Asamblea</b:First>
          </b:Person>
        </b:NameList>
      </b:Author>
    </b:Author>
    <b:Title>Ley Organica de Apoyo Humanitario</b:Title>
    <b:Year>2020</b:Year>
    <b:Month>06</b:Month>
    <b:Day>19</b:Day>
    <b:City>Quito</b:City>
    <b:StateProvince>Pichincha</b:StateProvince>
    <b:CountryRegion>Ecuador</b:CountryRegion>
    <b:Publisher>LEXIS FINDER</b:Publisher>
    <b:Pages>21</b:Pages>
    <b:Comments>Registro Oficial Suplemento 229 de 22-jun.-2020</b:Comments>
    <b:YearAccessed>2021</b:YearAccessed>
    <b:MonthAccessed>08</b:MonthAccessed>
    <b:DayAccessed>22</b:DayAccessed>
    <b:URL>https://www.google.com/url?sa=t&amp;rct=j&amp;q=&amp;esrc=s&amp;source=web&amp;cd=&amp;ved=2ahUKEwiCtJKopMLyAhVnRjABHWZWAfEQFnoECAIQAQ&amp;url=https%3A%2F%2Fwww.emov.gob.ec%2Fsites%2Fdefault%2Ffiles%2Ftransparencia_2020%2Fa2_41.pdf&amp;usg=AOvVaw3qKrKiqCVCmd2PvvXx1eIW</b:URL>
    <b:RefOrder>869</b:RefOrder>
  </b:Source>
  <b:Source>
    <b:Tag>Gar21</b:Tag>
    <b:SourceType>DocumentFromInternetSite</b:SourceType>
    <b:Guid>{B47D35BD-F5ED-445C-A572-B8B5BF7EF798}</b:Guid>
    <b:Title>Implementación de Contrato especial emergente y su afectación de los derechos laborales en el Ecuador</b:Title>
    <b:Year>2021</b:Year>
    <b:Month>02</b:Month>
    <b:Day>26</b:Day>
    <b:URL>http://201.159.223.180/bitstream/3317/16467/1/T-UCSG-PRE-JUR-DER-694.pdf</b:URL>
    <b:Author>
      <b:Author>
        <b:NameList>
          <b:Person>
            <b:Last>García Madrid </b:Last>
            <b:Middle>Maribel</b:Middle>
            <b:First>Arianna</b:First>
          </b:Person>
          <b:Person>
            <b:Last>Pin Malave</b:Last>
            <b:Middle>Rodolfo</b:Middle>
            <b:First>Leonardo</b:First>
          </b:Person>
        </b:NameList>
      </b:Author>
    </b:Author>
    <b:YearAccessed>2021</b:YearAccessed>
    <b:MonthAccessed>10</b:MonthAccessed>
    <b:DayAccessed>21</b:DayAccessed>
    <b:RefOrder>870</b:RefOrder>
  </b:Source>
  <b:Source>
    <b:Tag>Tra15</b:Tag>
    <b:SourceType>Misc</b:SourceType>
    <b:Guid>{E50C2BB2-092D-4006-9B75-35570C0680E1}</b:Guid>
    <b:Author>
      <b:Author>
        <b:NameList>
          <b:Person>
            <b:Last>Trabajo</b:Last>
            <b:First>Ministerio</b:First>
            <b:Middle>del</b:Middle>
          </b:Person>
        </b:NameList>
      </b:Author>
    </b:Author>
    <b:Title>Acuerdo Ministerial Nº. MDT-2015 0088, emitido por el Ministerio de Trabajo</b:Title>
    <b:PublicationTitle>Ley Orgánica Para La Justicia Laboral Y Reconocimiento Del Trabajo En El Hogar</b:PublicationTitle>
    <b:Year>2015</b:Year>
    <b:Month>04</b:Month>
    <b:Day>23</b:Day>
    <b:City>Quito</b:City>
    <b:StateProvince>Pichincha</b:StateProvince>
    <b:CountryRegion>Ecuador</b:CountryRegion>
    <b:YearAccessed>2021</b:YearAccessed>
    <b:MonthAccessed>08</b:MonthAccessed>
    <b:DayAccessed>22</b:DayAccessed>
    <b:RefOrder>871</b:RefOrder>
  </b:Source>
  <b:Source>
    <b:Tag>Nac08</b:Tag>
    <b:SourceType>Misc</b:SourceType>
    <b:Guid>{B6097845-0709-4553-AC9F-CE23465253E3}</b:Guid>
    <b:Author>
      <b:Author>
        <b:NameList>
          <b:Person>
            <b:Last>Nacional</b:Last>
            <b:First>Asamblea</b:First>
          </b:Person>
        </b:NameList>
      </b:Author>
    </b:Author>
    <b:Title>Constitución de la República del Ecuador</b:Title>
    <b:PublicationTitle>Registro Oficial 449 de 20-oct-2008</b:PublicationTitle>
    <b:Year>2008</b:Year>
    <b:Month>10</b:Month>
    <b:Day>20</b:Day>
    <b:City>Quito</b:City>
    <b:StateProvince>Pichincha</b:StateProvince>
    <b:CountryRegion>Ecuador</b:CountryRegion>
    <b:Publisher>LEXIS</b:Publisher>
    <b:Medium>Ultima modificación: 13-jul-2011</b:Medium>
    <b:Comments>Registro Oficial 449 de 20-oct-2008. </b:Comments>
    <b:YearAccessed>2021</b:YearAccessed>
    <b:MonthAccessed>08</b:MonthAccessed>
    <b:DayAccessed>22</b:DayAccessed>
    <b:RefOrder>872</b:RefOrder>
  </b:Source>
  <b:Source>
    <b:Tag>Cal14</b:Tag>
    <b:SourceType>Misc</b:SourceType>
    <b:Guid>{69F6E98A-F521-496B-9946-BE492AEBC1A2}</b:Guid>
    <b:Title>Aproximaciones conceptuales al principio de progresividad y no regresividad de los derechos constitucionales </b:Title>
    <b:Year>2014</b:Year>
    <b:Month>03</b:Month>
    <b:Day>02</b:Day>
    <b:PublicationTitle>REVISTA VIS IURIS</b:PublicationTitle>
    <b:City>Bogotá</b:City>
    <b:CountryRegion>Colombia</b:CountryRegion>
    <b:Pages>22</b:Pages>
    <b:Volume>No. 1, Vol. 1 | 141 - 161</b:Volume>
    <b:Comments>El artículo es un resultado parcial de la investigación titulada El Principio de Progresividad y no Regresividad de los Derechos</b:Comments>
    <b:YearAccessed>2021</b:YearAccessed>
    <b:MonthAccessed>09</b:MonthAccessed>
    <b:DayAccessed>05</b:DayAccessed>
    <b:URL>https://revistas.usergioarboleda.edu.co/index.php/visiuris/article/view/214</b:URL>
    <b:Author>
      <b:Author>
        <b:NameList>
          <b:Person>
            <b:Last>Calvo</b:Last>
            <b:Middle>Javier</b:Middle>
            <b:First>Nestor</b:First>
          </b:Person>
        </b:NameList>
      </b:Author>
      <b:Editor>
        <b:NameList>
          <b:Person>
            <b:Last>IURIS</b:Last>
            <b:First>REVISTA</b:First>
            <b:Middle>VIS</b:Middle>
          </b:Person>
        </b:NameList>
      </b:Editor>
    </b:Author>
    <b:RefOrder>873</b:RefOrder>
  </b:Source>
  <b:Source>
    <b:Tag>Pod21</b:Tag>
    <b:SourceType>InternetSite</b:SourceType>
    <b:Guid>{2D567E6B-78E5-48EA-B4C3-39768C849B6C}</b:Guid>
    <b:Title>Diccionario usual del Poder Judicial</b:Title>
    <b:Author>
      <b:Author>
        <b:Corporate>Poder Judicial República de Costa Rica</b:Corporate>
      </b:Author>
    </b:Author>
    <b:InternetSiteTitle>https://diccionariousual.poder-judicial.go.c</b:InternetSiteTitle>
    <b:URL>https://diccionariousual.poder-judicial.go.cr/index.php/diccionario</b:URL>
    <b:YearAccessed>2021</b:YearAccessed>
    <b:MonthAccessed>09</b:MonthAccessed>
    <b:DayAccessed>17</b:DayAccessed>
    <b:RefOrder>874</b:RefOrder>
  </b:Source>
  <b:Source>
    <b:Tag>Alv20</b:Tag>
    <b:SourceType>JournalArticle</b:SourceType>
    <b:Guid>{02CD70EA-77D8-4549-8800-C103482D6FE0}</b:Guid>
    <b:Title>El COVID-19 y la Administración de Justicia Iberoamericana. Informe de la Combre Jucicial Iberoamericana</b:Title>
    <b:JournalName>Comisión de Coordinación y Seguimiento de la Cumbre Judicial Iberoamericana (CJI)</b:JournalName>
    <b:Year>2020</b:Year>
    <b:Pages>pp.320</b:Pages>
    <b:Author>
      <b:Author>
        <b:NameList>
          <b:Person>
            <b:Last>Alvarez</b:Last>
            <b:First>P</b:First>
          </b:Person>
        </b:NameList>
      </b:Author>
    </b:Author>
    <b:RefOrder>875</b:RefOrder>
  </b:Source>
  <b:Source>
    <b:Tag>Isl</b:Tag>
    <b:SourceType>JournalArticle</b:SourceType>
    <b:Guid>{DB7881F0-A13C-4DD9-BE0E-3C9E0D124869}</b:Guid>
    <b:Title>El derecho al acceso a la justicia en el Sistema Interamericano de Protección de Derechos Humanos: construcción doctrinal y jurisprudencial</b:Title>
    <b:JournalName>Prospectiva Jurídica, México, UAEM, año 7, número 14. ISSN 2007-8137</b:JournalName>
    <b:Pages>pp. 47-60</b:Pages>
    <b:Author>
      <b:Author>
        <b:NameList>
          <b:Person>
            <b:Last>Islas</b:Last>
            <b:First>A</b:First>
          </b:Person>
          <b:Person>
            <b:Last>Díaz</b:Last>
            <b:First>A</b:First>
          </b:Person>
        </b:NameList>
      </b:Author>
    </b:Author>
    <b:Year>2016</b:Year>
    <b:RefOrder>876</b:RefOrder>
  </b:Source>
  <b:Source>
    <b:Tag>Gar111</b:Tag>
    <b:SourceType>JournalArticle</b:SourceType>
    <b:Guid>{3114524E-4C08-4C06-81F3-BD1058BF72C6}</b:Guid>
    <b:Title>Derecho y la Administración de Justicia</b:Title>
    <b:JournalName>Revista Derecho y Ciencias Sociales. Nº5. ISBN: 978-950-863-162-6</b:JournalName>
    <b:Year>2011</b:Year>
    <b:Pages>pp.98-113</b:Pages>
    <b:Author>
      <b:Author>
        <b:NameList>
          <b:Person>
            <b:Last>Garate</b:Last>
            <b:First>R</b:First>
          </b:Person>
        </b:NameList>
      </b:Author>
    </b:Author>
    <b:RefOrder>877</b:RefOrder>
  </b:Source>
  <b:Source>
    <b:Tag>Uro20</b:Tag>
    <b:SourceType>JournalArticle</b:SourceType>
    <b:Guid>{EAC1B25B-EC2D-4E3C-8D9B-101F3D6FCA8A}</b:Guid>
    <b:Title>Acceso a la justicia y protección de derechos humanos en tiempos de pandemia: razones para propiciar el acercamiento académico en las Américas</b:Title>
    <b:Year>2020</b:Year>
    <b:Author>
      <b:Author>
        <b:NameList>
          <b:Person>
            <b:Last>Urosa</b:Last>
            <b:First>D</b:First>
          </b:Person>
          <b:Person>
            <b:Last>Simone</b:Last>
            <b:First>S</b:First>
          </b:Person>
        </b:NameList>
      </b:Author>
    </b:Author>
    <b:JournalName>Instituto de Democracia y derechos Humanos. https://idehpucp.pucp.edu.pe/notas-informativas/acceso-a-la-justicia-y-proteccion-de-derechos-humanos-en-tiempos-de-pandemia-razones-para-propiciar-el-acercamiento-academico-en-las-americas/</b:JournalName>
    <b:RefOrder>878</b:RefOrder>
  </b:Source>
  <b:Source>
    <b:Tag>Igr20</b:Tag>
    <b:SourceType>JournalArticle</b:SourceType>
    <b:Guid>{2198CA0A-5D24-4CB3-A9B3-E8E13F000E48}</b:Guid>
    <b:Title>Acceso a la Justicia en Tiempos de Cuarentena</b:Title>
    <b:JournalName>Primer vicepresidente de la Asociación Internacional de Jueces, presidente de la Asociación Europea de Jueces y miembro del Consejo Asesor de la Red Global de Integridad Judicial</b:JournalName>
    <b:Year>2020</b:Year>
    <b:Author>
      <b:Author>
        <b:NameList>
          <b:Person>
            <b:Last>Igreja</b:Last>
            <b:First>J</b:First>
          </b:Person>
        </b:NameList>
      </b:Author>
    </b:Author>
    <b:RefOrder>879</b:RefOrder>
  </b:Source>
  <b:Source>
    <b:Tag>Lov20</b:Tag>
    <b:SourceType>JournalArticle</b:SourceType>
    <b:Guid>{8A201909-536A-457E-9CBE-22279EFCD396}</b:Guid>
    <b:Title>Derechos humanos en tiempos de pandemia: Recomendaciones del sistema universal y del sistema interamericano frente al COVID-19</b:Title>
    <b:JournalName>Instituto de Democracia y Derechos Humanos</b:JournalName>
    <b:Year>2020</b:Year>
    <b:Author>
      <b:Author>
        <b:NameList>
          <b:Person>
            <b:Last>Lovon</b:Last>
            <b:First>C</b:First>
          </b:Person>
        </b:NameList>
      </b:Author>
    </b:Author>
    <b:RefOrder>880</b:RefOrder>
  </b:Source>
  <b:Source>
    <b:Tag>CEP205</b:Tag>
    <b:SourceType>JournalArticle</b:SourceType>
    <b:Guid>{A1A2C7A9-FD26-4C7B-80A8-50BAD52638F6}</b:Guid>
    <b:Author>
      <b:Author>
        <b:Corporate>CEPAZ</b:Corporate>
      </b:Author>
    </b:Author>
    <b:Title>Los Derechos Humanos en Tiempos de Pandemia</b:Title>
    <b:JournalName>https://cepaz.org/articulos/los-derechos-humanos-en-tiempos-de-pandemia/</b:JournalName>
    <b:Year>2020</b:Year>
    <b:RefOrder>881</b:RefOrder>
  </b:Source>
  <b:Source>
    <b:Tag>Car20</b:Tag>
    <b:SourceType>JournalArticle</b:SourceType>
    <b:Guid>{85176F09-FC05-4D98-AE07-D78B49B18035}</b:Guid>
    <b:Author>
      <b:Author>
        <b:Corporate>Carta de Derechos de la Unión Europea (UE)</b:Corporate>
      </b:Author>
    </b:Author>
    <b:Title>El Acceso a la Justicia en Tiempos del COVID-19</b:Title>
    <b:Year>2008</b:Year>
    <b:JournalName>Consejo de Europa/ Consejo Consultivo de Jueces Europeos</b:JournalName>
    <b:RefOrder>882</b:RefOrder>
  </b:Source>
  <b:Source>
    <b:Tag>ILA20</b:Tag>
    <b:SourceType>JournalArticle</b:SourceType>
    <b:Guid>{342BA120-E630-4662-88D1-A792C83C6DEA}</b:Guid>
    <b:Author>
      <b:Author>
        <b:Corporate>ILAC</b:Corporate>
      </b:Author>
    </b:Author>
    <b:Title>Justicia en el tiempo de COVID-19. Desafíos del Poder Judicial en América Latina y el Caribe</b:Title>
    <b:JournalName>Consorcio Internacional de Asistencia Legal (ILAC)</b:JournalName>
    <b:Year>2020</b:Year>
    <b:Pages>pp.54</b:Pages>
    <b:RefOrder>883</b:RefOrder>
  </b:Source>
  <b:Source>
    <b:Tag>Agu12</b:Tag>
    <b:SourceType>JournalArticle</b:SourceType>
    <b:Guid>{C5463DD7-0164-4848-B7C2-38105C210A7D}</b:Guid>
    <b:Title>La administración de justicia en Ecuador 2012</b:Title>
    <b:JournalName>Justicia</b:JournalName>
    <b:Year>2012</b:Year>
    <b:Pages>pp. 11-25</b:Pages>
    <b:Author>
      <b:Author>
        <b:NameList>
          <b:Person>
            <b:Last>Aguirre</b:Last>
            <b:First>V</b:First>
          </b:Person>
        </b:NameList>
      </b:Author>
    </b:Author>
    <b:RefOrder>884</b:RefOrder>
  </b:Source>
  <b:Source>
    <b:Tag>Bri20</b:Tag>
    <b:SourceType>JournalArticle</b:SourceType>
    <b:Guid>{4BA0C3DD-ECF3-48B3-BA39-B5880A764BE3}</b:Guid>
    <b:Title>Justicia Digital en Ecuador</b:Title>
    <b:JournalName>DerechoEcuador.com</b:JournalName>
    <b:Year>2020</b:Year>
    <b:Author>
      <b:Author>
        <b:NameList>
          <b:Person>
            <b:Last>Briones</b:Last>
            <b:First>D</b:First>
          </b:Person>
        </b:NameList>
      </b:Author>
    </b:Author>
    <b:RefOrder>885</b:RefOrder>
  </b:Source>
  <b:Source>
    <b:Tag>Páe20</b:Tag>
    <b:SourceType>JournalArticle</b:SourceType>
    <b:Guid>{77CB1B31-4F13-44CC-ACB9-4CE60881BAAB}</b:Guid>
    <b:Title>Ecuador y el COVID-19: Una Perspectiva Desde el Derecho Penal Crítico</b:Title>
    <b:JournalName>Quito-Ecuador</b:JournalName>
    <b:Year>2020</b:Year>
    <b:Author>
      <b:Author>
        <b:NameList>
          <b:Person>
            <b:Last>Páez</b:Last>
            <b:First>P</b:First>
          </b:Person>
        </b:NameList>
      </b:Author>
    </b:Author>
    <b:RefOrder>886</b:RefOrder>
  </b:Source>
  <b:Source>
    <b:Tag>Ric15</b:Tag>
    <b:SourceType>JournalArticle</b:SourceType>
    <b:Guid>{AA9BB4F8-BFFA-41DF-909E-FAF6BB97C5DD}</b:Guid>
    <b:Title>La Administración de Justicia en América Latina. Una Introducción al Sistema Penal</b:Title>
    <b:JournalName>Centro para la Administración de Justicia (CAJ). Universidad Internacional de la Florida </b:JournalName>
    <b:Year>2015</b:Year>
    <b:Pages>pp.59</b:Pages>
    <b:Author>
      <b:Author>
        <b:NameList>
          <b:Person>
            <b:Last>Rico</b:Last>
            <b:First>J</b:First>
          </b:Person>
          <b:Person>
            <b:Last>Salas</b:Last>
            <b:First>L</b:First>
          </b:Person>
        </b:NameList>
      </b:Author>
    </b:Author>
    <b:RefOrder>887</b:RefOrder>
  </b:Source>
  <b:Source>
    <b:Tag>MarcadorDePosición65</b:Tag>
    <b:SourceType>JournalArticle</b:SourceType>
    <b:Guid>{80C42A2F-67E8-447B-8891-45BEAD300CA1}</b:Guid>
    <b:Title>Cómo garantizar el acceso a la Justicia en tiempos de COVID-19</b:Title>
    <b:Year>2020</b:Year>
    <b:Author>
      <b:Author>
        <b:NameList>
          <b:Person>
            <b:Last>Gil</b:Last>
            <b:First>E</b:First>
          </b:Person>
        </b:NameList>
      </b:Author>
    </b:Author>
    <b:RefOrder>888</b:RefOrder>
  </b:Source>
  <b:Source>
    <b:Tag>Gut63</b:Tag>
    <b:SourceType>JournalArticle</b:SourceType>
    <b:Guid>{A3CDFD97-0848-4A13-9660-3CE6FB9971CB}</b:Guid>
    <b:Year>1963</b:Year>
    <b:Author>
      <b:Author>
        <b:NameList>
          <b:Person>
            <b:Last>Guthrie</b:Last>
            <b:First>R</b:First>
          </b:Person>
          <b:Person>
            <b:Last>Ada</b:Last>
            <b:First>S</b:First>
          </b:Person>
        </b:NameList>
      </b:Author>
    </b:Author>
    <b:Title>A simple phenylalanine method for detecting phenylketonuria in large populations of newborn infants</b:Title>
    <b:JournalName> Pediatrics</b:JournalName>
    <b:Volume>32</b:Volume>
    <b:Issue>338-43</b:Issue>
    <b:RefOrder>889</b:RefOrder>
  </b:Source>
  <b:Source>
    <b:Tag>DeJ16</b:Tag>
    <b:SourceType>JournalArticle</b:SourceType>
    <b:Guid>{899B821F-06CB-4CEC-AE2B-D0F76A324346}</b:Guid>
    <b:Title>The role of technology in the neonatal screening laboratory</b:Title>
    <b:JournalName>J Inborn Errors Metab Screen</b:JournalName>
    <b:Year>2016</b:Year>
    <b:Volume>4</b:Volume>
    <b:Issue>DOI: 10.1177/2326409816661360</b:Issue>
    <b:Author>
      <b:Author>
        <b:NameList>
          <b:Person>
            <b:Last>De Jesús </b:Last>
            <b:First>VR</b:First>
          </b:Person>
        </b:NameList>
      </b:Author>
    </b:Author>
    <b:InternetSiteTitle>The role of technology in the neonatal screening laboratory</b:InternetSiteTitle>
    <b:RefOrder>890</b:RefOrder>
  </b:Source>
  <b:Source>
    <b:Tag>Art19</b:Tag>
    <b:SourceType>Report</b:SourceType>
    <b:Guid>{41242948-17B1-44E0-867A-10BDC75C74D7}</b:Guid>
    <b:Title>Tamizaje metabólico neonatal en el personal de enfermería del centro de salud Anidados</b:Title>
    <b:Year>2018-2019</b:Year>
    <b:Author>
      <b:Author>
        <b:NameList>
          <b:Person>
            <b:Last>Arteaga Minda</b:Last>
            <b:First>K.B</b:First>
          </b:Person>
        </b:NameList>
      </b:Author>
    </b:Author>
    <b:City>Otavalo</b:City>
    <b:StandardNumber>http://repositorio.utn.edu.ec/handle/123456789/9832</b:StandardNumber>
    <b:RefOrder>891</b:RefOrder>
  </b:Source>
  <b:Source>
    <b:Tag>Flo181</b:Tag>
    <b:SourceType>JournalArticle</b:SourceType>
    <b:Guid>{2CB6376D-5CE5-4419-BB46-C26D5A4E0C40}</b:Guid>
    <b:Title>Tamizaje neonatal de hipotiroidismo congénito, análisis de la evidencia actual y propuesta de tamizaje para la población mexicana</b:Title>
    <b:Year>2018</b:Year>
    <b:Author>
      <b:Author>
        <b:NameList>
          <b:Person>
            <b:Last>Flores-Robles</b:Last>
            <b:First>C.M</b:First>
          </b:Person>
          <b:Person>
            <b:Last>Coronado-Zarco</b:Last>
            <b:First>I.A</b:First>
          </b:Person>
          <b:Person>
            <b:Last>Ortega-González</b:Last>
            <b:First>C</b:First>
          </b:Person>
          <b:Person>
            <b:Last>Arreola Ramírez</b:Last>
            <b:First>G</b:First>
          </b:Person>
          <b:Person>
            <b:Last>Reyes-Muñoz</b:Last>
            <b:First>E</b:First>
          </b:Person>
        </b:NameList>
      </b:Author>
    </b:Author>
    <b:JournalName>Perinatología y Reproducción Humana</b:JournalName>
    <b:Volume>32(1)</b:Volume>
    <b:Issue>43-52</b:Issue>
    <b:RefOrder>892</b:RefOrder>
  </b:Source>
  <b:Source>
    <b:Tag>Ort15</b:Tag>
    <b:SourceType>JournalArticle</b:SourceType>
    <b:Guid>{8DF777C8-E0E2-44FC-9B1A-4C46D3CF905A}</b:Guid>
    <b:Title>Evaluación del desempeño del Programa Nacional de Tamizaje Metabólico Neonatal del Ministerio de Salud Pública del Ecuador</b:Title>
    <b:JournalName>Revista Ecuatoriana Medica Eugenio Espejo</b:JournalName>
    <b:Year>2015</b:Year>
    <b:Issue> 4(5)</b:Issue>
    <b:Author>
      <b:Author>
        <b:NameList>
          <b:Person>
            <b:Last>Ortiz Rubio</b:Last>
            <b:First>A</b:First>
          </b:Person>
          <b:Person>
            <b:Last>Villacís Guerrero</b:Last>
            <b:First>B</b:First>
          </b:Person>
          <b:Person>
            <b:Last>Jara Muñoz</b:Last>
            <b:First>E</b:First>
          </b:Person>
          <b:Person>
            <b:Last> Narváez Olalla</b:Last>
            <b:First>A</b:First>
          </b:Person>
          <b:Person>
            <b:Last> Prócel Egüez</b:Last>
            <b:First>P</b:First>
          </b:Person>
        </b:NameList>
      </b:Author>
    </b:Author>
    <b:RefOrder>893</b:RefOrder>
  </b:Source>
  <b:Source>
    <b:Tag>MSP19</b:Tag>
    <b:SourceType>InternetSite</b:SourceType>
    <b:Guid>{306CA5C6-85C7-42EC-AD17-3EE4B55AF9B1}</b:Guid>
    <b:Title>Proyecto de Tamizaje Metabólico Neonatal</b:Title>
    <b:Author>
      <b:Author>
        <b:Corporate>MSP;</b:Corporate>
      </b:Author>
    </b:Author>
    <b:InternetSiteTitle>Ministerio de Salud Pública</b:InternetSiteTitle>
    <b:YearAccessed>2019</b:YearAccessed>
    <b:MonthAccessed>enero</b:MonthAccessed>
    <b:DayAccessed>09</b:DayAccessed>
    <b:URL>https://www.salud.gob.ec/proyecto-detamizaje-metabolico-neonatal/</b:URL>
    <b:Year>Proyecto de Tamizaje Metabólico Neonatal</b:Year>
    <b:RefOrder>894</b:RefOrder>
  </b:Source>
  <b:Source>
    <b:Tag>Rui98</b:Tag>
    <b:SourceType>JournalArticle</b:SourceType>
    <b:Guid>{B2AC6812-E084-461A-A5F6-C87FB81DF4A9}</b:Guid>
    <b:Year>1998</b:Year>
    <b:Author>
      <b:Author>
        <b:NameList>
          <b:Person>
            <b:Last>Ruiz Pons</b:Last>
          </b:Person>
          <b:Person>
            <b:Last>Santana</b:Last>
            <b:First>M</b:First>
          </b:Person>
          <b:Person>
            <b:Last>Vega</b:Last>
            <b:First>C</b:First>
          </b:Person>
        </b:NameList>
      </b:Author>
    </b:Author>
    <b:Title> Enfoque práctico para el diagnóstico de los errores congénitos del metabolismo</b:Title>
    <b:JournalName> Acta Pediatr Esp </b:JournalName>
    <b:Volume>56</b:Volume>
    <b:Issue>39-52</b:Issue>
    <b:RefOrder>895</b:RefOrder>
  </b:Source>
  <b:Source>
    <b:Tag>Sán07</b:Tag>
    <b:SourceType>JournalArticle</b:SourceType>
    <b:Guid>{1C29C5D4-D5B0-417A-9E7F-C12BAFD412B4}</b:Guid>
    <b:Title>Errores innatos del metabolismo</b:Title>
    <b:JournalName>Bol Pediatr</b:JournalName>
    <b:Year>2007</b:Year>
    <b:Volume>47</b:Volume>
    <b:Issue>111-115</b:Issue>
    <b:Author>
      <b:Author>
        <b:NameList>
          <b:Person>
            <b:Last>Sánchez</b:Last>
            <b:First>M</b:First>
          </b:Person>
          <b:Person>
            <b:Last>Legarda</b:Last>
            <b:First>T</b:First>
          </b:Person>
          <b:Person>
            <b:Last>Dalmau</b:Last>
            <b:First>S</b:First>
          </b:Person>
        </b:NameList>
      </b:Author>
    </b:Author>
    <b:RefOrder>896</b:RefOrder>
  </b:Source>
  <b:Source>
    <b:Tag>Cio10</b:Tag>
    <b:SourceType>Book</b:SourceType>
    <b:Guid>{388F91EF-6CD0-4D5E-BAB0-A8C3A493C209}</b:Guid>
    <b:Title>Sociedad Argentina de Pediatría</b:Title>
    <b:Year>2010</b:Year>
    <b:Author>
      <b:Author>
        <b:NameList>
          <b:Person>
            <b:Last>Ciocca</b:Last>
            <b:First>M</b:First>
          </b:Person>
          <b:Person>
            <b:Last> Waisburg</b:Last>
            <b:First>H</b:First>
          </b:Person>
          <b:Person>
            <b:Last>Bay</b:Last>
            <b:First>L</b:First>
          </b:Person>
        </b:NameList>
      </b:Author>
    </b:Author>
    <b:City>Buenos Aires</b:City>
    <b:Edition>1a edición</b:Edition>
    <b:Publisher>92</b:Publisher>
    <b:RefOrder>897</b:RefOrder>
  </b:Source>
  <b:Source>
    <b:Tag>Iba14</b:Tag>
    <b:SourceType>JournalArticle</b:SourceType>
    <b:Guid>{2F384285-38DC-4F6E-9B49-DE6255B47F67}</b:Guid>
    <b:Title>Characterization of inborn errors of intermediary metabolism in mexican patients</b:Title>
    <b:Year>2014</b:Year>
    <b:City>Barcelona</b:City>
    <b:Edition>5</b:Edition>
    <b:Author>
      <b:Author>
        <b:NameList>
          <b:Person>
            <b:Last>Ibarra González</b:Last>
            <b:First>I</b:First>
          </b:Person>
          <b:Person>
            <b:Last>Fernández Lainez</b:Last>
            <b:First>C</b:First>
          </b:Person>
          <b:Person>
            <b:Last>Belmont Martínez</b:Last>
            <b:First>L</b:First>
          </b:Person>
          <b:Person>
            <b:Last>Guillén López</b:Last>
            <b:First>S</b:First>
          </b:Person>
          <b:Person>
            <b:Last>Monroy Santoyo</b:Last>
            <b:First>S</b:First>
          </b:Person>
          <b:Person>
            <b:Last>Vela</b:Last>
            <b:First>M</b:First>
          </b:Person>
        </b:NameList>
      </b:Author>
      <b:Editor>
        <b:NameList>
          <b:Person>
            <b:Last>80</b:Last>
          </b:Person>
        </b:NameList>
      </b:Editor>
    </b:Author>
    <b:JournalName>An Pediatr</b:JournalName>
    <b:Volume>80</b:Volume>
    <b:Issue>5</b:Issue>
    <b:RefOrder>898</b:RefOrder>
  </b:Source>
  <b:Source>
    <b:Tag>Rai08</b:Tag>
    <b:SourceType>JournalArticle</b:SourceType>
    <b:Guid>{FBE8F3A0-1926-4E9F-BB85-1A2FB207A6E1}</b:Guid>
    <b:Title>Diagnóstico de errores innatos del metabolismo</b:Title>
    <b:JournalName>Rev Chil Pediatr</b:JournalName>
    <b:Year>2008</b:Year>
    <b:Volume>72</b:Volume>
    <b:Issue>92-95</b:Issue>
    <b:Author>
      <b:Author>
        <b:NameList>
          <b:Person>
            <b:Last>Raimann</b:Last>
            <b:First>E</b:First>
          </b:Person>
        </b:NameList>
      </b:Author>
    </b:Author>
    <b:RefOrder>899</b:RefOrder>
  </b:Source>
  <b:Source>
    <b:Tag>Sou14</b:Tag>
    <b:SourceType>DocumentFromInternetSite</b:SourceType>
    <b:Guid>{194B293D-DA08-4CA7-9D59-317722299E46}</b:Guid>
    <b:Author>
      <b:Author>
        <b:NameList>
          <b:Person>
            <b:Last>Soulminato</b:Last>
          </b:Person>
        </b:NameList>
      </b:Author>
    </b:Author>
    <b:InternetSiteTitle>Tamizaje2013 04102013-1 [Internet]. 12:23:00 UTC</b:InternetSiteTitle>
    <b:YearAccessed>2014</b:YearAccessed>
    <b:MonthAccessed>junio</b:MonthAccessed>
    <b:DayAccessed>01</b:DayAccessed>
    <b:URL>http://www.slideshare.net/soulminato/tamizaje2013-041020131</b:URL>
    <b:RefOrder>900</b:RefOrder>
  </b:Source>
  <b:Source>
    <b:Tag>Art191</b:Tag>
    <b:SourceType>Report</b:SourceType>
    <b:Guid>{C7716B5B-4F41-4ACA-8334-7E836501E909}</b:Guid>
    <b:Year>2019</b:Year>
    <b:Author>
      <b:Author>
        <b:NameList>
          <b:Person>
            <b:Last>Arteaga Minda</b:Last>
          </b:Person>
          <b:Person>
            <b:Last>K.B</b:Last>
          </b:Person>
        </b:NameList>
      </b:Author>
    </b:Author>
    <b:Title> Tamizaje metabólico neonatal en el personal de enfermería del centro de salud Anidados</b:Title>
    <b:Department>Facultad Ciencias de la Salud</b:Department>
    <b:Institution>Universidad Técnica del Norte</b:Institution>
    <b:City>Otavalo</b:City>
    <b:StandardNumber>http://repositorio.utn.edu.ec/handle/123456789/9832</b:StandardNumber>
    <b:RefOrder>901</b:RefOrder>
  </b:Source>
  <b:Source>
    <b:Tag>MarcadorDePosición66</b:Tag>
    <b:SourceType>JournalArticle</b:SourceType>
    <b:Guid>{8B73EFAE-7FCB-408E-8FD0-092BE9322DB9}</b:Guid>
    <b:Title>Nivel de cumplimiento sobre los protocolos del tamizaje neonatal en primigesta</b:Title>
    <b:Year>2018</b:Year>
    <b:Author>
      <b:Author>
        <b:NameList>
          <b:Person>
            <b:Last>Pozo Tomalá</b:Last>
            <b:First>X.R</b:First>
          </b:Person>
          <b:Person>
            <b:Last>Solano Yagual</b:Last>
            <b:First>M.C</b:First>
          </b:Person>
        </b:NameList>
      </b:Author>
    </b:Author>
    <b:JournalName>Hospital general Dr. Liborio Panchana Sotomayor</b:JournalName>
    <b:Issue>https://repositorio.upse.edu.ec/handle/46000/4546</b:Issue>
    <b:InternetSiteTitle>Hospital general Dr. Liborio Panchana Sotomayor</b:InternetSiteTitle>
    <b:URL>https://repositorio.upse.edu.ec/handle/46000/4546</b:URL>
    <b:RefOrder>902</b:RefOrder>
  </b:Source>
  <b:Source>
    <b:Tag>Rod19</b:Tag>
    <b:SourceType>JournalArticle</b:SourceType>
    <b:Guid>{E8172773-AC6B-4BC9-94B9-79C1377C9E22}</b:Guid>
    <b:Title>Diagnóstico y seguimiento de los pacientes con hipotiroidismo congénito diagnosticados por cribado neonatal</b:Title>
    <b:JournalName>Anales de Pediatría</b:JournalName>
    <b:Year>2019</b:Year>
    <b:Volume>90(4), 250. el-250.e8</b:Volume>
    <b:Issue>https://doi.org/10.1016/j.anpedi.2018.11.002</b:Issue>
    <b:Author>
      <b:Author>
        <b:NameList>
          <b:Person>
            <b:Last>Rodríguez Sánchez</b:Last>
            <b:First>A</b:First>
          </b:Person>
          <b:Person>
            <b:Last>Chueca Guindulain</b:Last>
            <b:First>M.J</b:First>
          </b:Person>
          <b:Person>
            <b:Last>Alija Merillas</b:Last>
            <b:First>M</b:First>
          </b:Person>
          <b:Person>
            <b:Last> Ares Segura</b:Last>
            <b:First>S</b:First>
          </b:Person>
          <b:Person>
            <b:Last> Moreno Navarro</b:Last>
            <b:First>J.C</b:First>
          </b:Person>
          <b:Person>
            <b:Last>Rodríguez Arnao</b:Last>
            <b:First>M.D</b:First>
          </b:Person>
        </b:NameList>
      </b:Author>
    </b:Author>
    <b:RefOrder>903</b:RefOrder>
  </b:Source>
  <b:Source>
    <b:Tag>Are15</b:Tag>
    <b:SourceType>Book</b:SourceType>
    <b:Guid>{A97ED416-6035-4002-8D9B-6F569B008A4A}</b:Guid>
    <b:Title>Anatomía de Testud</b:Title>
    <b:Year>2015</b:Year>
    <b:Author>
      <b:Author>
        <b:NameList>
          <b:Person>
            <b:Last>Arellano</b:Last>
            <b:First>M</b:First>
          </b:Person>
        </b:NameList>
      </b:Author>
    </b:Author>
    <b:City>Mexico</b:City>
    <b:Publisher>Editorial Interamericana</b:Publisher>
    <b:Edition>Primera Edición</b:Edition>
    <b:RefOrder>904</b:RefOrder>
  </b:Source>
  <b:Source>
    <b:Tag>Bal15</b:Tag>
    <b:SourceType>JournalArticle</b:SourceType>
    <b:Guid>{BCEDC511-12F0-42E4-B16B-4059B05B6F7A}</b:Guid>
    <b:Title>Los niños del mundo</b:Title>
    <b:JournalName>Directivo Ferroviario</b:JournalName>
    <b:Year>2015</b:Year>
    <b:Month>buenos Aires</b:Month>
    <b:Author>
      <b:Author>
        <b:NameList>
          <b:Person>
            <b:Last>Baltazar</b:Last>
            <b:First>C</b:First>
          </b:Person>
        </b:NameList>
      </b:Author>
    </b:Author>
    <b:RefOrder>905</b:RefOrder>
  </b:Source>
  <b:Source>
    <b:Tag>MarcadorDePosición67</b:Tag>
    <b:SourceType>DocumentFromInternetSite</b:SourceType>
    <b:Guid>{A369FBCF-0D68-46A0-AAB1-8E32D5B9D853}</b:Guid>
    <b:Title>Tamizaje Metabólico Neonatal</b:Title>
    <b:Year>2017</b:Year>
    <b:Author>
      <b:Author>
        <b:Corporate>Ministerio de salud Pública;</b:Corporate>
      </b:Author>
    </b:Author>
    <b:InternetSiteTitle>Tamizaje Metabólico Neonatal</b:InternetSiteTitle>
    <b:YearAccessed>2021</b:YearAccessed>
    <b:MonthAccessed>febrero</b:MonthAccessed>
    <b:DayAccessed>16</b:DayAccessed>
    <b:URL>https://enlace.17d07.mspz9.gob.ec/biblioteca/promo/inclusivos/4.%20Acciones</b:URL>
    <b:RefOrder>906</b:RefOrder>
  </b:Source>
  <b:Source>
    <b:Tag>Vil151</b:Tag>
    <b:SourceType>JournalArticle</b:SourceType>
    <b:Guid>{F7D1E223-736B-4FFC-A447-1735A7FDB2E6}</b:Guid>
    <b:Year>2015</b:Year>
    <b:Author>
      <b:Author>
        <b:NameList>
          <b:Person>
            <b:Last>Villacís Guerrero</b:Last>
            <b:First>B</b:First>
          </b:Person>
        </b:NameList>
      </b:Author>
    </b:Author>
    <b:Title>Evaluación del desempeño del Programa Nacional de Tamizaje Metabólico Neonatal del Ministerio de Salud Pública del Ecuador</b:Title>
    <b:JournalName>Revista Ecuatoriana de Medicina Eugenio Espejo</b:JournalName>
    <b:Volume>4</b:Volume>
    <b:Issue>27-34</b:Issue>
    <b:RefOrder>907</b:RefOrder>
  </b:Source>
  <b:Source>
    <b:Tag>MSP191</b:Tag>
    <b:SourceType>InternetSite</b:SourceType>
    <b:Guid>{B46E2FC2-4DA4-410D-9187-5DF94A8FD174}</b:Guid>
    <b:Title>Proyecto de Tamizaje Metabólico Neonatal. Ministerio de Salud Pública</b:Title>
    <b:Year>2019</b:Year>
    <b:Author>
      <b:Author>
        <b:Corporate>M.S.P.;</b:Corporate>
      </b:Author>
    </b:Author>
    <b:YearAccessed>2021</b:YearAccessed>
    <b:MonthAccessed>febrero</b:MonthAccessed>
    <b:DayAccessed>16</b:DayAccessed>
    <b:URL>https://www.salud.gob.ec/proyecto-de-tamizaje-metabolico-neonatal</b:URL>
    <b:RefOrder>908</b:RefOrder>
  </b:Source>
  <b:Source>
    <b:Tag>Zar19</b:Tag>
    <b:SourceType>Report</b:SourceType>
    <b:Guid>{8FFC51D9-72F6-41E2-8204-2D8B42CD0CD1}</b:Guid>
    <b:Year>2019</b:Year>
    <b:Author>
      <b:Author>
        <b:NameList>
          <b:Person>
            <b:Last>Zarama</b:Last>
            <b:First>R</b:First>
          </b:Person>
        </b:NameList>
      </b:Author>
    </b:Author>
    <b:Title>Importancia de la Aplicación del Tamizaje Metabólico Neonatal</b:Title>
    <b:Department>Facultad de Ciencias de la Salud</b:Department>
    <b:Institution>Universidad Estatal de Milagro</b:Institution>
    <b:City>Milagro</b:City>
    <b:Pages>29</b:Pages>
    <b:ThesisType>Tesis de Grado</b:ThesisType>
    <b:RefOrder>909</b:RefOrder>
  </b:Source>
  <b:Source>
    <b:Tag>MarcadorDePosición68</b:Tag>
    <b:SourceType>JournalArticle</b:SourceType>
    <b:Guid>{DE812BDC-6DCF-4BFF-860B-A98033F346E7}</b:Guid>
    <b:Title> Diseño de investigación de corte transversal.</b:Title>
    <b:Year>2018</b:Year>
    <b:Author>
      <b:Author>
        <b:NameList>
          <b:Person>
            <b:Last>Rodríguez</b:Last>
            <b:First>M</b:First>
          </b:Person>
          <b:Person>
            <b:Last>Mendivelso</b:Last>
            <b:First>F</b:First>
          </b:Person>
        </b:NameList>
      </b:Author>
    </b:Author>
    <b:JournalName>Revista Médica Sanitas</b:JournalName>
    <b:Volume>3</b:Volume>
    <b:Issue>21</b:Issue>
    <b:RefOrder>910</b:RefOrder>
  </b:Source>
  <b:Source>
    <b:Tag>Gon17</b:Tag>
    <b:SourceType>JournalArticle</b:SourceType>
    <b:Guid>{33594DD7-8817-462A-915D-60B9D2707D97}</b:Guid>
    <b:Title>Diseños de investigación cuantitativos aplicados en las ciencias de la administración y gestión</b:Title>
    <b:JournalName>Globalciencia</b:JournalName>
    <b:Year>2017</b:Year>
    <b:Volume>1</b:Volume>
    <b:Issue>3</b:Issue>
    <b:Author>
      <b:Author>
        <b:NameList>
          <b:Person>
            <b:Last>González-Díaz</b:Last>
            <b:First>R</b:First>
          </b:Person>
          <b:Person>
            <b:Last>Hernández-Royett</b:Last>
            <b:First>J</b:First>
          </b:Person>
        </b:NameList>
      </b:Author>
    </b:Author>
    <b:RefOrder>911</b:RefOrder>
  </b:Source>
  <b:Source>
    <b:Tag>Mun19</b:Tag>
    <b:SourceType>Report</b:SourceType>
    <b:Guid>{8D60BA88-8177-4114-BF0C-E33DB9AB3878}</b:Guid>
    <b:Title>Declaración de Helsinki de la AMM-Principios éticos para las investigaciones médicas en seres humanos</b:Title>
    <b:Year>2019</b:Year>
    <b:City>Helsinki</b:City>
    <b:Author>
      <b:Author>
        <b:NameList>
          <b:Person>
            <b:Last>Mundial</b:Last>
            <b:First>A</b:First>
          </b:Person>
        </b:NameList>
      </b:Author>
    </b:Author>
    <b:RefOrder>912</b:RefOrder>
  </b:Source>
  <b:Source>
    <b:Tag>Cha98</b:Tag>
    <b:SourceType>JournalArticle</b:SourceType>
    <b:Guid>{05ACA957-39B4-4C14-BDA4-FA0A9126D5C1}</b:Guid>
    <b:Title>Genetic screening and ethics: European perspectives</b:Title>
    <b:Year>1998</b:Year>
    <b:JournalName>J Med Philos</b:JournalName>
    <b:Issue>23</b:Issue>
    <b:Author>
      <b:Author>
        <b:NameList>
          <b:Person>
            <b:Last>Chadwick</b:Last>
            <b:First>R</b:First>
          </b:Person>
          <b:Person>
            <b:Last>Ten Have</b:Last>
            <b:First>H</b:First>
          </b:Person>
          <b:Person>
            <b:Last>Husted</b:Last>
            <b:First>J</b:First>
          </b:Person>
          <b:Person>
            <b:Last>Levitt</b:Last>
            <b:First>M</b:First>
          </b:Person>
          <b:Person>
            <b:Last>McGleenan</b:Last>
            <b:First>T</b:First>
          </b:Person>
          <b:Person>
            <b:Last>Shickle</b:Last>
            <b:First>D</b:First>
          </b:Person>
        </b:NameList>
      </b:Author>
    </b:Author>
    <b:RefOrder>913</b:RefOrder>
  </b:Source>
  <b:Source>
    <b:Tag>Pes22</b:Tag>
    <b:SourceType>DocumentFromInternetSite</b:SourceType>
    <b:Guid>{7CB43388-0BAE-44F0-9882-FB8595514FE6}</b:Guid>
    <b:InternetSiteTitle>Pesquisa</b:InternetSiteTitle>
    <b:YearAccessed>2022</b:YearAccessed>
    <b:MonthAccessed>3</b:MonthAccessed>
    <b:DayAccessed>29</b:DayAccessed>
    <b:URL>http://www.sap.org.ar/staticfiles/pronap/pronap2007/modulo2/cap1_mod2.</b:URL>
    <b:Author>
      <b:Author>
        <b:NameList>
          <b:Person>
            <b:Last>Pediatría</b:Last>
            <b:First>Asociación</b:First>
            <b:Middle>Argentina de</b:Middle>
          </b:Person>
        </b:NameList>
      </b:Author>
    </b:Author>
    <b:Year>2022</b:Year>
    <b:Month>Marzo</b:Month>
    <b:Day>29</b:Day>
    <b:RefOrder>914</b:RefOrder>
  </b:Source>
  <b:Source>
    <b:Tag>Min21</b:Tag>
    <b:SourceType>InternetSite</b:SourceType>
    <b:Guid>{9656BD65-01A3-42E9-BE40-530B85683B62}</b:Guid>
    <b:InternetSiteTitle>Con pie derecho</b:InternetSiteTitle>
    <b:Year>2021</b:Year>
    <b:YearAccessed>2022</b:YearAccessed>
    <b:MonthAccessed>03</b:MonthAccessed>
    <b:DayAccessed>martes</b:DayAccessed>
    <b:URL>https://www.salud.gob.ec/wp-content/uploads/2014/03/tamizaje-1.png</b:URL>
    <b:Author>
      <b:Author>
        <b:Corporate>Ministerio de Salud Pública</b:Corporate>
      </b:Author>
    </b:Author>
    <b:RefOrder>915</b:RefOrder>
  </b:Source>
  <b:Source>
    <b:Tag>Aco21</b:Tag>
    <b:SourceType>Report</b:SourceType>
    <b:Guid>{41B9EEE1-1390-4486-B4BF-141AE999B83C}</b:Guid>
    <b:Year>2021</b:Year>
    <b:Author>
      <b:Author>
        <b:NameList>
          <b:Person>
            <b:Last>Acosta-Arevalo</b:Last>
            <b:First>C</b:First>
          </b:Person>
          <b:Person>
            <b:Last>Alvarado-Holguin</b:Last>
            <b:First>B</b:First>
          </b:Person>
        </b:NameList>
      </b:Author>
    </b:Author>
    <b:Title>Aplicación del Tamizaje Metabólico Neonatal por parte del Personal de Enfermería.</b:Title>
    <b:Department>Repositorio</b:Department>
    <b:Institution>Universidad Estatal de Milagro</b:Institution>
    <b:City>Milagro</b:City>
    <b:RefOrder>916</b:RefOrder>
  </b:Source>
  <b:Source>
    <b:Tag>Org202</b:Tag>
    <b:SourceType>JournalArticle</b:SourceType>
    <b:Guid>{961932FE-E8FF-4679-840E-CFE2EC022D60}</b:Guid>
    <b:Author>
      <b:Author>
        <b:Corporate>Organización Internacional del Trabajo OIT</b:Corporate>
      </b:Author>
    </b:Author>
    <b:Title>El uso de tecnologías en los Servicios Públicos de Empleo mejora su prestación de servicios</b:Title>
    <b:JournalName>Stio web mundial</b:JournalName>
    <b:Year>2020</b:Year>
    <b:URL>https://www.ilo.org/emppolicy/pubs/WCMS_764250/lang--es/index.htm</b:URL>
    <b:RefOrder>917</b:RefOrder>
  </b:Source>
  <b:Source>
    <b:Tag>Álv15</b:Tag>
    <b:SourceType>Book</b:SourceType>
    <b:Guid>{0A35BBE1-38BC-4977-98EF-BDE785EF22F6}</b:Guid>
    <b:Title>Implementación de nuevas tecnologías : valuación, variables, riesgos y escenarios tecnológicos</b:Title>
    <b:Year>2015</b:Year>
    <b:Publisher>UFG Editores</b:Publisher>
    <b:City>San Salvador</b:City>
    <b:Author>
      <b:Author>
        <b:NameList>
          <b:Person>
            <b:Last>Álvarez</b:Last>
            <b:First>Francisco</b:First>
            <b:Middle>Antonio</b:Middle>
          </b:Person>
        </b:NameList>
      </b:Author>
    </b:Author>
    <b:URL>https://archivo.cepal.org/pdfs/GuiaProspectiva/Alvarez2015Implementacion.pdf</b:URL>
    <b:RefOrder>918</b:RefOrder>
  </b:Source>
  <b:Source>
    <b:Tag>Ins213</b:Tag>
    <b:SourceType>JournalArticle</b:SourceType>
    <b:Guid>{8061B3E1-4229-4D2C-9899-AED5B395294B}</b:Guid>
    <b:Author>
      <b:Author>
        <b:Corporate>Instituto Nacional de Estadísticas y Censos INEC</b:Corporate>
      </b:Author>
    </b:Author>
    <b:Title>Tecnologías de la Información y Comunicación  (TIC)</b:Title>
    <b:JournalName>Sitio web nacional</b:JournalName>
    <b:Year>2021</b:Year>
    <b:URL>https://www.ecuadorencifras.gob.ec/tecnologias-de-la-informacion-y-comunicacion-empresas/</b:URL>
    <b:RefOrder>919</b:RefOrder>
  </b:Source>
  <b:Source>
    <b:Tag>Tir19</b:Tag>
    <b:SourceType>JournalArticle</b:SourceType>
    <b:Guid>{2B49D454-A7C5-4E00-AB80-E8F6AF82C05B}</b:Guid>
    <b:Author>
      <b:Author>
        <b:NameList>
          <b:Person>
            <b:Last>Tirado</b:Last>
            <b:First>Fredy</b:First>
            <b:Middle>Flores</b:Middle>
          </b:Person>
        </b:NameList>
      </b:Author>
    </b:Author>
    <b:Title>Eficacia de las herramientas digitales y posicionamiento de marca en la empresa Procesadora de Alimentos y Bebidas Tarapoto S.A.C</b:Title>
    <b:JournalName>Universidad César Vallejo</b:JournalName>
    <b:Year>2019</b:Year>
    <b:Pages>(1) 1-67</b:Pages>
    <b:URL>https://repositorio.ucv.edu.pe/bitstream/handle/20.500.12692/28641/Flores_TF.pdf</b:URL>
    <b:RefOrder>920</b:RefOrder>
  </b:Source>
  <b:Source>
    <b:Tag>Ort18</b:Tag>
    <b:SourceType>JournalArticle</b:SourceType>
    <b:Guid>{069F830A-1494-40C8-AADA-5D8CC3939E35}</b:Guid>
    <b:Author>
      <b:Author>
        <b:NameList>
          <b:Person>
            <b:Last>Ortiz</b:Last>
            <b:First>Josué</b:First>
            <b:Middle>Pacheco</b:Middle>
          </b:Person>
          <b:Person>
            <b:Last>Ricardo</b:Last>
            <b:First>Castillo</b:First>
            <b:Middle>Intriago Víctor</b:Middle>
          </b:Person>
          <b:Person>
            <b:Last>Raúl</b:Last>
            <b:First>Ponce</b:First>
            <b:Middle>San Juan</b:Middle>
          </b:Person>
        </b:NameList>
      </b:Author>
    </b:Author>
    <b:Title>APLICACIÓN DE HERRAMIENTAS DE COMERCIO ELECTRONICO Y ESTRATEGIAS DE MARKETING DIGITAL PARA IMPULSAR LA COMERCIALIZACIÓN EN LA INDUSTRIA CASERA</b:Title>
    <b:JournalName>Instituto Tecnológico de Orizaba</b:JournalName>
    <b:Year>2018</b:Year>
    <b:Pages>(1)1-6</b:Pages>
    <b:URL>https://www.uv.mx/iiesca/files/2018/11/15CA201801.pdf</b:URL>
    <b:RefOrder>921</b:RefOrder>
  </b:Source>
  <b:Source>
    <b:Tag>MarcadorDePosición69</b:Tag>
    <b:SourceType>JournalArticle</b:SourceType>
    <b:Guid>{344FE497-FCD7-47EA-B755-A0A418B3CEA0}</b:Guid>
    <b:Author>
      <b:Author>
        <b:NameList>
          <b:Person>
            <b:Last>Dini</b:Last>
            <b:First>Marco</b:First>
          </b:Person>
          <b:Person>
            <b:Last>Gligo</b:Last>
            <b:First>Nicolo</b:First>
          </b:Person>
          <b:Person>
            <b:Last>Patiño</b:Last>
            <b:First>Alejandro</b:First>
          </b:Person>
        </b:NameList>
      </b:Author>
    </b:Author>
    <b:Title>Transformación digital de las mipymes Elementos para el diseño de políticas</b:Title>
    <b:JournalName>Publicación de las Naciones Unidas</b:JournalName>
    <b:Year>2021</b:Year>
    <b:Pages>(1)1-61</b:Pages>
    <b:RefOrder>922</b:RefOrder>
  </b:Source>
  <b:Source>
    <b:Tag>MarcadorDePosición70</b:Tag>
    <b:SourceType>JournalArticle</b:SourceType>
    <b:Guid>{28139889-A214-469E-8D8C-92F408887C81}</b:Guid>
    <b:Title>Balcón de servicios CNEL. EP</b:Title>
    <b:JournalName>Sitio web Nacional</b:JournalName>
    <b:Year>2021</b:Year>
    <b:Author>
      <b:Author>
        <b:Corporate>Corporación Nacional de Electricidad CNEL. EP</b:Corporate>
      </b:Author>
    </b:Author>
    <b:URL>https://www.cnelep.gob.ec/</b:URL>
    <b:RefOrder>923</b:RefOrder>
  </b:Source>
  <b:Source>
    <b:Tag>Rol17</b:Tag>
    <b:SourceType>JournalArticle</b:SourceType>
    <b:Guid>{4D473C7A-1501-4B72-A6A0-387C58A50806}</b:Guid>
    <b:Author>
      <b:Author>
        <b:NameList>
          <b:Person>
            <b:Last>Roldán</b:Last>
            <b:First>Pedro</b:First>
            <b:Middle>López</b:Middle>
          </b:Person>
          <b:Person>
            <b:Last>Fachelli</b:Last>
            <b:First>Sandra</b:First>
          </b:Person>
        </b:NameList>
      </b:Author>
    </b:Author>
    <b:Title>Metodología de la investigación social cuantitativa</b:Title>
    <b:JournalName>Universitat Autònoma de Barcelona</b:JournalName>
    <b:Year>2017</b:Year>
    <b:Pages>(1)1-64</b:Pages>
    <b:URL>https://ddd.uab.cat/pub/caplli/2017/185163/metinvsoccua_cap2-4a2017.pdf</b:URL>
    <b:RefOrder>924</b:RefOrder>
  </b:Source>
  <b:Source>
    <b:Tag>Tri19</b:Tag>
    <b:SourceType>JournalArticle</b:SourceType>
    <b:Guid>{E7F10221-2A0E-4C48-B339-3BFE72A91380}</b:Guid>
    <b:Author>
      <b:Author>
        <b:NameList>
          <b:Person>
            <b:Last>Triviño</b:Last>
            <b:First>Aracely</b:First>
            <b:Middle>Carolina Castro</b:Middle>
          </b:Person>
        </b:NameList>
      </b:Author>
    </b:Author>
    <b:Title>Perpectivas de mejora de servcio al cliente de emrpesas públicaas de Manabí</b:Title>
    <b:JournalName>Universidad Politécncia Salesiana</b:JournalName>
    <b:Year>2019</b:Year>
    <b:Pages>(1)1-22</b:Pages>
    <b:URL>https://dspace.ups.edu.ec/bitstream/123456789/17454/1/UPS-GT002690.pdf</b:URL>
    <b:RefOrder>925</b:RefOrder>
  </b:Source>
  <b:Source>
    <b:Tag>Jor201</b:Tag>
    <b:SourceType>JournalArticle</b:SourceType>
    <b:Guid>{0D0C9593-E9B8-4E99-A7A2-F26F8C7CDD2D}</b:Guid>
    <b:Author>
      <b:Author>
        <b:NameList>
          <b:Person>
            <b:Last>Gutierrez</b:Last>
            <b:First>Jorge</b:First>
            <b:Middle>Juan</b:Middle>
          </b:Person>
        </b:NameList>
      </b:Author>
    </b:Author>
    <b:Title>El uso de tegnologías en la lucha contra el covid 19</b:Title>
    <b:JournalName>Agencia Española de protección de datos de la Unidad de Evaluación y Estudios</b:JournalName>
    <b:Year>2020</b:Year>
    <b:Pages>(1)a-16</b:Pages>
    <b:RefOrder>926</b:RefOrder>
  </b:Source>
  <b:Source>
    <b:Tag>Hug22</b:Tag>
    <b:SourceType>JournalArticle</b:SourceType>
    <b:Guid>{F4F85551-D588-4FBB-B724-F5EB8EB99F1C}</b:Guid>
    <b:Author>
      <b:Author>
        <b:NameList>
          <b:Person>
            <b:Last>Aranzamendi</b:Last>
            <b:First>Hugo</b:First>
            <b:Middle>Alvarez</b:Middle>
          </b:Person>
        </b:NameList>
      </b:Author>
    </b:Author>
    <b:Title>El Rol de la Tecnología en el nuevo contexto de COVID-19</b:Title>
    <b:JournalName>Hugo Alvarez Aranzamendi</b:JournalName>
    <b:Year>2022</b:Year>
    <b:Pages>(1) 1-24</b:Pages>
    <b:RefOrder>927</b:RefOrder>
  </b:Source>
  <b:Source>
    <b:Tag>Ban212</b:Tag>
    <b:SourceType>JournalArticle</b:SourceType>
    <b:Guid>{43B57090-4EE5-4030-91AC-437583FFAFE5}</b:Guid>
    <b:Author>
      <b:Author>
        <b:Corporate>Banco de Desarrollo de América Latina </b:Corporate>
      </b:Author>
    </b:Author>
    <b:Title>El impacto de la digitalización para reducir brechas y mejorar los servicios de infraestructura</b:Title>
    <b:JournalName>Corporación Andina de Fomento</b:JournalName>
    <b:Year>2021</b:Year>
    <b:Pages>(1)5-141</b:Pages>
    <b:RefOrder>928</b:RefOrder>
  </b:Source>
  <b:Source>
    <b:Tag>Gru</b:Tag>
    <b:SourceType>Report</b:SourceType>
    <b:Guid>{BC0F53A9-C9F8-461D-9E45-BC456BD7B27F}</b:Guid>
    <b:Title>Los chigualos</b:Title>
    <b:Author>
      <b:Artist>
        <b:NameList>
          <b:Person>
            <b:Last>edad</b:Last>
            <b:First>Grupo</b:First>
            <b:Middle>de la tercera</b:Middle>
          </b:Person>
        </b:NameList>
      </b:Artist>
      <b:Author>
        <b:Corporate>Grupo de la tercera dad</b:Corporate>
      </b:Author>
    </b:Author>
    <b:PublicationTitle>Novenas de diciembre</b:PublicationTitle>
    <b:City>Jama</b:City>
    <b:Year>2014</b:Year>
    <b:RefOrder>929</b:RefOrder>
  </b:Source>
  <b:Source>
    <b:Tag>Luc15</b:Tag>
    <b:SourceType>Report</b:SourceType>
    <b:Guid>{D267EC89-6DD7-4A51-99EE-865CCF39A58D}</b:Guid>
    <b:Title>Los Chigualos</b:Title>
    <b:Year>2015</b:Year>
    <b:City>Bajo de Pechiche - Montecristi</b:City>
    <b:Author>
      <b:Author>
        <b:NameList>
          <b:Person>
            <b:Last>Lucas</b:Last>
            <b:Middle>Ana María</b:Middle>
            <b:First>Holguín</b:First>
          </b:Person>
        </b:NameList>
      </b:Author>
    </b:Author>
    <b:RefOrder>930</b:RefOrder>
  </b:Source>
  <b:Source>
    <b:Tag>Qui16</b:Tag>
    <b:SourceType>JournalArticle</b:SourceType>
    <b:Guid>{C8E9196C-2301-4C93-844C-CFBCD6B232F7}</b:Guid>
    <b:Author>
      <b:Author>
        <b:NameList>
          <b:Person>
            <b:Last>Quinde Martínez</b:Last>
            <b:First>P.,</b:First>
            <b:Middle>&amp; Reinoso Angulo, E.</b:Middle>
          </b:Person>
        </b:NameList>
      </b:Author>
    </b:Author>
    <b:Title>Estudio de peligro sísmico de Ecuador y propuesta de espectros de diseño para la Ciudad de Cuenca</b:Title>
    <b:JournalName>Ingeniería sísmica</b:JournalName>
    <b:Year>2016</b:Year>
    <b:Pages>1-26</b:Pages>
    <b:RefOrder>931</b:RefOrder>
  </b:Source>
  <b:Source>
    <b:Tag>Agu03</b:Tag>
    <b:SourceType>JournalArticle</b:SourceType>
    <b:Guid>{53BCCDE9-D2FD-42A3-96E0-AD7AB49F8160}</b:Guid>
    <b:Author>
      <b:Author>
        <b:NameList>
          <b:Person>
            <b:Last>Aguiar</b:Last>
            <b:First>R.</b:First>
          </b:Person>
        </b:NameList>
      </b:Author>
    </b:Author>
    <b:Title>Análisis sísmico por desempeño</b:Title>
    <b:JournalName>Centro de Investigaciones Científicas</b:JournalName>
    <b:Year>2003</b:Year>
    <b:Pages>342</b:Pages>
    <b:RefOrder>932</b:RefOrder>
  </b:Source>
  <b:Source>
    <b:Tag>Men13</b:Tag>
    <b:SourceType>Report</b:SourceType>
    <b:Guid>{19646090-2580-4578-B8C6-137F37A85696}</b:Guid>
    <b:Title>Optimizació del uso del SIG en la mecrozonificación sísmica y evaluación de la vulnerabilidad física en la ciudad de Guaranda-Ecuador</b:Title>
    <b:Year>2013</b:Year>
    <b:Author>
      <b:Author>
        <b:NameList>
          <b:Person>
            <b:Last>Mena Erazo</b:Last>
            <b:First>D.</b:First>
            <b:Middle>F.</b:Middle>
          </b:Person>
        </b:NameList>
      </b:Author>
    </b:Author>
    <b:RefOrder>933</b:RefOrder>
  </b:Source>
  <b:Source>
    <b:Tag>Alm91</b:Tag>
    <b:SourceType>JournalArticle</b:SourceType>
    <b:Guid>{3D39E4FF-66BB-42BF-9094-19B3229839E7}</b:Guid>
    <b:Title>Las erupciones históricas del volcán Tungurahua.</b:Title>
    <b:Year>1991</b:Year>
    <b:Author>
      <b:Author>
        <b:NameList>
          <b:Person>
            <b:Last>Almeida</b:Last>
            <b:First>E.</b:First>
            <b:Middle>D. U. A. R. D. O., &amp; Ramón, P. A. T. R. I. C. I. O.</b:Middle>
          </b:Person>
        </b:NameList>
      </b:Author>
    </b:Author>
    <b:JournalName>Boletín Geológico Ecuatoriano</b:JournalName>
    <b:Pages>89-138</b:Pages>
    <b:RefOrder>934</b:RefOrder>
  </b:Source>
  <b:Source>
    <b:Tag>Fig08</b:Tag>
    <b:SourceType>JournalArticle</b:SourceType>
    <b:Guid>{BD44FA82-E497-483C-9612-503E93DAC9D7}</b:Guid>
    <b:Author>
      <b:Author>
        <b:NameList>
          <b:Person>
            <b:Last>Figueroa</b:Last>
            <b:First>R.</b:First>
            <b:Middle>G., Solís, C. J., &amp; Cabrera, A. A.</b:Middle>
          </b:Person>
        </b:NameList>
      </b:Author>
    </b:Author>
    <b:Title>Metodologías tradicionales vs. metodologías ágiles.</b:Title>
    <b:JournalName>Universidad Técnica Particular de Loja, Escuela de Ciencias de la Computación</b:JournalName>
    <b:Year>2008</b:Year>
    <b:Pages>1-10</b:Pages>
    <b:RefOrder>935</b:RefOrder>
  </b:Source>
  <b:Source>
    <b:Tag>Let06</b:Tag>
    <b:SourceType>Report</b:SourceType>
    <b:Guid>{FC668D3C-D8B0-4A30-930B-852DE8FC854D}</b:Guid>
    <b:Author>
      <b:Author>
        <b:NameList>
          <b:Person>
            <b:Last>Letelier</b:Last>
            <b:First>P.,</b:First>
            <b:Middle>&amp; Penadés, M. C.</b:Middle>
          </b:Person>
        </b:NameList>
      </b:Author>
    </b:Author>
    <b:Title>Métodologías ágiles para el desarrollo de software: eXtreme Programming (XP)</b:Title>
    <b:Year>2006</b:Year>
    <b:RefOrder>936</b:RefOrder>
  </b:Source>
  <b:Source>
    <b:Tag>Tri12</b:Tag>
    <b:SourceType>Report</b:SourceType>
    <b:Guid>{6CF10B13-67B2-4C27-AE22-937BD5755C6F}</b:Guid>
    <b:Author>
      <b:Author>
        <b:NameList>
          <b:Person>
            <b:Last>Trigás Gallego</b:Last>
            <b:First>M.</b:First>
          </b:Person>
        </b:NameList>
      </b:Author>
    </b:Author>
    <b:Title>Metodologia scrum</b:Title>
    <b:Year>2012</b:Year>
    <b:RefOrder>937</b:RefOrder>
  </b:Source>
  <b:Source>
    <b:Tag>Góm12</b:Tag>
    <b:SourceType>JournalArticle</b:SourceType>
    <b:Guid>{EDE14E60-F3DE-4839-9D94-277B273E5D66}</b:Guid>
    <b:Author>
      <b:Author>
        <b:NameList>
          <b:Person>
            <b:Last>Gómez</b:Last>
            <b:First>D.</b:First>
            <b:Middle>E. S.</b:Middle>
          </b:Person>
        </b:NameList>
      </b:Author>
    </b:Author>
    <b:Title>Metodología para la gestión de riesgos de desastres en las comunidades, basado en el marco de acción de Hyogo 2005-2015</b:Title>
    <b:Year>2012</b:Year>
    <b:JournalName>Ingeniería Industrial. Actualidad y Nuevas Tendencias</b:JournalName>
    <b:Pages>61-72</b:Pages>
    <b:RefOrder>938</b:RefOrder>
  </b:Source>
  <b:Source>
    <b:Tag>Mol05</b:Tag>
    <b:SourceType>JournalArticle</b:SourceType>
    <b:Guid>{ACA114E1-6849-4416-8F85-228B703CE4E6}</b:Guid>
    <b:Author>
      <b:Author>
        <b:NameList>
          <b:Person>
            <b:Last>Molina</b:Last>
            <b:First>A.</b:First>
            <b:Middle>M., López, L. F., &amp; Villegas, G. I.</b:Middle>
          </b:Person>
        </b:NameList>
      </b:Author>
    </b:Author>
    <b:Title>Los sistemas de información geográfica (SIG) en la planificación municipal</b:Title>
    <b:JournalName>Revista EIA</b:JournalName>
    <b:Year>2005</b:Year>
    <b:Pages>21-31</b:Pages>
    <b:RefOrder>939</b:RefOrder>
  </b:Source>
  <b:Source>
    <b:Tag>Lar06</b:Tag>
    <b:SourceType>JournalArticle</b:SourceType>
    <b:Guid>{E8242D43-EB24-48A1-83A5-2D489895B5BA}</b:Guid>
    <b:Author>
      <b:Author>
        <b:NameList>
          <b:Person>
            <b:Last>Lara</b:Last>
            <b:First>E.</b:First>
            <b:Middle>L., Simeón, C. P., &amp; Navarro, J. G. M.</b:Middle>
          </b:Person>
        </b:NameList>
      </b:Author>
    </b:Author>
    <b:Title> Los sistemas de informacion geográfica</b:Title>
    <b:JournalName>Geoenseñanza</b:JournalName>
    <b:Year>2006</b:Year>
    <b:RefOrder>940</b:RefOrder>
  </b:Source>
  <b:Source>
    <b:Tag>Agu13</b:Tag>
    <b:SourceType>JournalArticle</b:SourceType>
    <b:Guid>{A7824EFB-4801-4F6D-A580-CE4365847353}</b:Guid>
    <b:Author>
      <b:Author>
        <b:NameList>
          <b:Person>
            <b:Last>Aguaguiña Agualongo</b:Last>
            <b:First>J.</b:First>
            <b:Middle>P.</b:Middle>
          </b:Person>
        </b:NameList>
      </b:Author>
    </b:Author>
    <b:Title>Metodología Para El Análisis De Riesgo (sismos, Deslizamientos E Inundaciones) De La Ciudad De Guaranda.” Tema Estudio De La Vulnerabilidad Física, Ante Eventos Adversos (SISMOS, Deslizamientos, E Inundaciones), En El Sistema De Red Vial En El Área Urbana</b:Title>
    <b:Year>2013</b:Year>
    <b:RefOrder>941</b:RefOrder>
  </b:Source>
  <b:Source>
    <b:Tag>LOP10</b:Tag>
    <b:SourceType>Book</b:SourceType>
    <b:Guid>{4F1D7BD4-7EB4-40D2-854A-7F3DF7972643}</b:Guid>
    <b:Author>
      <b:Author>
        <b:NameList>
          <b:Person>
            <b:Last>LOPERA</b:Last>
            <b:First>J.,</b:First>
            <b:Middle>Ramírez, C., Zuluaga, M., &amp; Ortiz, J.</b:Middle>
          </b:Person>
        </b:NameList>
      </b:Author>
    </b:Author>
    <b:Title>El método analítico.</b:Title>
    <b:Year>2010</b:Year>
    <b:RefOrder>942</b:RefOrder>
  </b:Source>
  <b:Source>
    <b:Tag>Mar06</b:Tag>
    <b:SourceType>Book</b:SourceType>
    <b:Guid>{DFD30341-ECB0-4395-868B-8EE3D200CE52}</b:Guid>
    <b:Author>
      <b:Author>
        <b:NameList>
          <b:Person>
            <b:Last>Martí Ferriol</b:Last>
            <b:First>J.</b:First>
            <b:Middle>L.</b:Middle>
          </b:Person>
        </b:NameList>
      </b:Author>
    </b:Author>
    <b:Title>Estudio empírico y descriptivo del método de traducción para doblaje y subtitulación</b:Title>
    <b:Year>2006</b:Year>
    <b:Publisher>Universitat Jaume I.</b:Publisher>
    <b:RefOrder>943</b:RefOrder>
  </b:Source>
  <b:Source>
    <b:Tag>MarcadorDePosición71</b:Tag>
    <b:SourceType>Report</b:SourceType>
    <b:Guid>{87FF0E5F-4355-455C-81D1-5807CDD8F016}</b:Guid>
    <b:Author>
      <b:Author>
        <b:NameList>
          <b:Person>
            <b:Last>Benavides</b:Last>
            <b:First>L.</b:First>
            <b:Middle>M. C., Valencia, D. M. R., &amp; Ortega, J. J. V.</b:Middle>
          </b:Person>
        </b:NameList>
      </b:Author>
    </b:Author>
    <b:Title>GEOPORTAL COMO APOYO A LA GESTIÓN DE AMENAZA Y RIESGO NATURAL</b:Title>
    <b:Year>2013</b:Year>
    <b:RefOrder>944</b:RefOrder>
  </b:Source>
  <b:Source>
    <b:Tag>Qui19</b:Tag>
    <b:SourceType>JournalArticle</b:SourceType>
    <b:Guid>{14FDD1C9-840F-4ADA-B1E9-A1FDA1A28DCE}</b:Guid>
    <b:Author>
      <b:Author>
        <b:NameList>
          <b:Person>
            <b:Last>Quipuscoa Silvestre</b:Last>
            <b:First>V.,</b:First>
            <b:Middle>Dillon, M. O., Treviño Zevallos, Í., Balvin Aguilar, M., Mejía Rios, A., Ramos Aranibar, D., ... &amp; Montesinos Tubée, D</b:Middle>
          </b:Person>
        </b:NameList>
      </b:Author>
    </b:Author>
    <b:Title>Impacto de los cambios climáticos y uso de suelo, en la distribución de las especies de géneros endémicos de Asteraceae de Arequipa.</b:Title>
    <b:Year>2019</b:Year>
    <b:JournalName>Arnaldoa</b:JournalName>
    <b:Pages>71-96</b:Pages>
    <b:RefOrder>945</b:RefOrder>
  </b:Source>
  <b:Source>
    <b:Tag>Rom05</b:Tag>
    <b:SourceType>ConferenceProceedings</b:SourceType>
    <b:Guid>{38CA8C6E-D7B1-450F-9D72-D0D16EAC97B4}</b:Guid>
    <b:Author>
      <b:Author>
        <b:NameList>
          <b:Person>
            <b:Last>Romero</b:Last>
            <b:First>H.,</b:First>
            <b:Middle>Henríquez, C., Azócar, G., Vásquez, A., Souza, N. D., Riveros, S., &amp; Morán, A.</b:Middle>
          </b:Person>
        </b:NameList>
      </b:Author>
    </b:Author>
    <b:Title>Sistemas de Información Geográfica para el Desarrollo Sustentable de las ciudades chilenas.</b:Title>
    <b:JournalName>In 2º Congreso Internacional Ciudad y Territorio Virtual, Concepción, Chile</b:JournalName>
    <b:Year>2005</b:Year>
    <b:Pages>52-58</b:Pages>
    <b:ConferenceName>In 2º Congreso Internacional Ciudad y Territorio Virtual, Concepción</b:ConferenceName>
    <b:RefOrder>946</b:RefOrder>
  </b:Source>
  <b:Source>
    <b:Tag>Cam</b:Tag>
    <b:SourceType>JournalArticle</b:SourceType>
    <b:Guid>{899FE8B4-EF3F-4D3A-9CCE-361A93845679}</b:Guid>
    <b:Author>
      <b:Author>
        <b:NameList>
          <b:Person>
            <b:Last>Campaña</b:Last>
            <b:First>R.,</b:First>
            <b:Middle>Cevallos, H., Encalada, G., &amp; Murillo, J.</b:Middle>
          </b:Person>
        </b:NameList>
      </b:Author>
    </b:Author>
    <b:Title>LA INGENIERÍA DE SOFTWARE EN EL PROCESO DE ELABORACIÓN DE LA CARTOGRAFÍA DIGITAL</b:Title>
    <b:RefOrder>947</b:RefOrder>
  </b:Source>
  <b:Source>
    <b:Tag>Igl17</b:Tag>
    <b:SourceType>Report</b:SourceType>
    <b:Guid>{D544B934-1F5F-4DC7-BB71-614495B91E7A}</b:Guid>
    <b:Author>
      <b:Author>
        <b:NameList>
          <b:Person>
            <b:Last>Iglesias</b:Last>
            <b:First>V.</b:First>
            <b:Middle>F., Luaces, M. R., &amp; Trillo, D.</b:Middle>
          </b:Person>
        </b:NameList>
      </b:Author>
    </b:Author>
    <b:Title>Servicio de impresión de información geográfica en forma de mapas siguiendo el estándar OGC WPS.</b:Title>
    <b:Year>2017</b:Year>
    <b:RefOrder>948</b:RefOrder>
  </b:Source>
  <b:Source>
    <b:Tag>Lar04</b:Tag>
    <b:SourceType>Report</b:SourceType>
    <b:Guid>{19E68FE5-BFD7-4057-AE78-383759A3C09B}</b:Guid>
    <b:Author>
      <b:Author>
        <b:NameList>
          <b:Person>
            <b:Last>Lara Tabares</b:Last>
            <b:First>B.</b:First>
            <b:Middle>A., &amp; Rodríguez Arévalo, A. M.</b:Middle>
          </b:Person>
        </b:NameList>
      </b:Author>
    </b:Author>
    <b:Title>Guía metodológica para la generación de servicios en línea a partir de los estándares WFS y WMS basados en visualización con tráfico liviano y manejo de seguridad.</b:Title>
    <b:Year>2004</b:Year>
    <b:RefOrder>949</b:RefOrder>
  </b:Source>
  <b:Source>
    <b:Tag>Vid12</b:Tag>
    <b:SourceType>Report</b:SourceType>
    <b:Guid>{F0002A50-D334-41D9-AE70-38806AC538A8}</b:Guid>
    <b:Author>
      <b:Author>
        <b:NameList>
          <b:Person>
            <b:Last>Vidal Ayats</b:Last>
            <b:First>A.</b:First>
          </b:Person>
        </b:NameList>
      </b:Author>
    </b:Author>
    <b:Title>Vissir3: nuevas posibilidades de visualización e interacción con la cartografía del ICC</b:Title>
    <b:Year>2012</b:Year>
    <b:RefOrder>950</b:RefOrder>
  </b:Source>
  <b:Source>
    <b:Tag>Ros21</b:Tag>
    <b:SourceType>Book</b:SourceType>
    <b:Guid>{1B483924-3AF4-4E0C-9DF3-7B93BC0188D4}</b:Guid>
    <b:Author>
      <b:Author>
        <b:NameList>
          <b:Person>
            <b:Last>Peiró</b:Last>
            <b:First>Rosario</b:First>
          </b:Person>
        </b:NameList>
      </b:Author>
    </b:Author>
    <b:Title>Los valores desde la perspectiva social</b:Title>
    <b:Year>2021</b:Year>
    <b:City>Bogotá-Colombia</b:City>
    <b:Publisher>S.a</b:Publisher>
    <b:RefOrder>951</b:RefOrder>
  </b:Source>
  <b:Source>
    <b:Tag>Mig19</b:Tag>
    <b:SourceType>Book</b:SourceType>
    <b:Guid>{15CB140C-4C13-4EDF-82A8-D6AC12ACB6BE}</b:Guid>
    <b:Author>
      <b:Author>
        <b:NameList>
          <b:Person>
            <b:Last>Vallejo</b:Last>
            <b:First>Miguel</b:First>
            <b:Middle>Peláez</b:Middle>
          </b:Person>
        </b:NameList>
      </b:Author>
    </b:Author>
    <b:Title>INFLUENCIA DEL ENTORNO FAMILIAR EN EL RENDIMIENTO </b:Title>
    <b:Year>2019</b:Year>
    <b:City>Lima-Perú</b:City>
    <b:RefOrder>952</b:RefOrder>
  </b:Source>
  <b:Source>
    <b:Tag>And162</b:Tag>
    <b:SourceType>Book</b:SourceType>
    <b:Guid>{F65F2E57-8982-480C-A12F-5F8325B25716}</b:Guid>
    <b:Author>
      <b:Author>
        <b:NameList>
          <b:Person>
            <b:Last>Herrera</b:Last>
            <b:First>Andrés</b:First>
          </b:Person>
        </b:NameList>
      </b:Author>
    </b:Author>
    <b:Title>La iglesia en el comportamiento humano</b:Title>
    <b:Year>2016</b:Year>
    <b:City>México-México</b:City>
    <b:Publisher>N.e</b:Publisher>
    <b:RefOrder>953</b:RefOrder>
  </b:Source>
  <b:Source>
    <b:Tag>Adr20</b:Tag>
    <b:SourceType>Book</b:SourceType>
    <b:Guid>{BCA7D4C1-45A3-4F2A-B65A-CACCD788C607}</b:Guid>
    <b:Author>
      <b:Author>
        <b:NameList>
          <b:Person>
            <b:Last>Morales</b:Last>
            <b:First>Adriana</b:First>
          </b:Person>
        </b:NameList>
      </b:Author>
    </b:Author>
    <b:Title>Significado de Valores culturales</b:Title>
    <b:Year>2020</b:Year>
    <b:City>Quito-Ecuador</b:City>
    <b:Publisher>S.a</b:Publisher>
    <b:RefOrder>954</b:RefOrder>
  </b:Source>
  <b:Source>
    <b:Tag>Dan14</b:Tag>
    <b:SourceType>Book</b:SourceType>
    <b:Guid>{980694B1-B9E8-47D2-A3B2-F7A97DDBC6EA}</b:Guid>
    <b:Author>
      <b:Author>
        <b:NameList>
          <b:Person>
            <b:Last>Perero</b:Last>
            <b:First>Daniel</b:First>
          </b:Person>
        </b:NameList>
      </b:Author>
    </b:Author>
    <b:Title>La familia como base de la sociedad</b:Title>
    <b:Year>2014</b:Year>
    <b:City>Lima-Perú</b:City>
    <b:Publisher>N.e</b:Publisher>
    <b:RefOrder>955</b:RefOrder>
  </b:Source>
  <b:Source>
    <b:Tag>Ern13</b:Tag>
    <b:SourceType>Book</b:SourceType>
    <b:Guid>{711CE515-1CB8-417F-8734-462E516D4475}</b:Guid>
    <b:Author>
      <b:Author>
        <b:NameList>
          <b:Person>
            <b:Last>Ibarra</b:Last>
            <b:First>Ernesto</b:First>
          </b:Person>
        </b:NameList>
      </b:Author>
    </b:Author>
    <b:Title>Valores morales</b:Title>
    <b:Year>2013</b:Year>
    <b:City>Loja-Loja</b:City>
    <b:Publisher>L.i.</b:Publisher>
    <b:RefOrder>956</b:RefOrder>
  </b:Source>
  <b:Source>
    <b:Tag>Ign10</b:Tag>
    <b:SourceType>Book</b:SourceType>
    <b:Guid>{2C1EBE73-7F7B-42D6-B7F5-16F82DDF59B9}</b:Guid>
    <b:Author>
      <b:Author>
        <b:NameList>
          <b:Person>
            <b:Last>Martinez</b:Last>
            <b:First>Ignacio</b:First>
          </b:Person>
        </b:NameList>
      </b:Author>
    </b:Author>
    <b:Title>La moralidad desde una perspectiva psicológica </b:Title>
    <b:Year>2010</b:Year>
    <b:City>Caracas-Venezuela</b:City>
    <b:Publisher>S.a</b:Publisher>
    <b:RefOrder>957</b:RefOrder>
  </b:Source>
  <b:Source>
    <b:Tag>Dan07</b:Tag>
    <b:SourceType>Book</b:SourceType>
    <b:Guid>{E10244DC-7FF7-45F9-82E9-CB9F75C2F297}</b:Guid>
    <b:Author>
      <b:Author>
        <b:NameList>
          <b:Person>
            <b:Last>Reginfo</b:Last>
            <b:First>Daniel</b:First>
          </b:Person>
        </b:NameList>
      </b:Author>
    </b:Author>
    <b:Title>Valores fundamentales en la etapa escolar</b:Title>
    <b:Year>2007</b:Year>
    <b:City>Loja-Loja</b:City>
    <b:Publisher>n,e</b:Publisher>
    <b:RefOrder>958</b:RefOrder>
  </b:Source>
  <b:Source>
    <b:Tag>Enr14</b:Tag>
    <b:SourceType>Book</b:SourceType>
    <b:Guid>{7184DA68-E155-4BA3-9ECB-351D9767B42A}</b:Guid>
    <b:Author>
      <b:Author>
        <b:NameList>
          <b:Person>
            <b:Last>Herrera</b:Last>
            <b:First>Enrique</b:First>
          </b:Person>
        </b:NameList>
      </b:Author>
    </b:Author>
    <b:Title>El comportamiento humano</b:Title>
    <b:Year>2014</b:Year>
    <b:City>Bogotá-Colombia</b:City>
    <b:Publisher>l.i</b:Publisher>
    <b:RefOrder>959</b:RefOrder>
  </b:Source>
  <b:Source>
    <b:Tag>And172</b:Tag>
    <b:SourceType>Book</b:SourceType>
    <b:Guid>{30B30DDB-C26E-4A9E-A9C0-3D48589810AC}</b:Guid>
    <b:Author>
      <b:Author>
        <b:NameList>
          <b:Person>
            <b:Last>Carrión</b:Last>
            <b:First>Andrea</b:First>
          </b:Person>
        </b:NameList>
      </b:Author>
    </b:Author>
    <b:Title>Valores morales, principios para una vida correcta</b:Title>
    <b:Year>2017</b:Year>
    <b:City>Buenos Aires-Argentina</b:City>
    <b:RefOrder>960</b:RefOrder>
  </b:Source>
  <b:Source>
    <b:Tag>MarcadorDePosición72</b:Tag>
    <b:SourceType>Book</b:SourceType>
    <b:Guid>{2E60D2D3-829E-4EF0-9F57-24A7C6449452}</b:Guid>
    <b:Author>
      <b:Author>
        <b:NameList>
          <b:Person>
            <b:Last>Bermello</b:Last>
            <b:First>Alexander</b:First>
          </b:Person>
        </b:NameList>
      </b:Author>
    </b:Author>
    <b:Title>Responsabilidad Humana</b:Title>
    <b:Year>2020</b:Year>
    <b:City>Montevideo-Uruguay</b:City>
    <b:RefOrder>961</b:RefOrder>
  </b:Source>
  <b:Source>
    <b:Tag>Rau09</b:Tag>
    <b:SourceType>Book</b:SourceType>
    <b:Guid>{9EE7DF0C-1A07-46A1-B9BE-B269830BBE0C}</b:Guid>
    <b:Author>
      <b:Author>
        <b:NameList>
          <b:Person>
            <b:Last>Andrade</b:Last>
            <b:First>Raul</b:First>
          </b:Person>
        </b:NameList>
      </b:Author>
    </b:Author>
    <b:Title>Educación Inicial Volumen II</b:Title>
    <b:Year>2009</b:Year>
    <b:City>México-México</b:City>
    <b:RefOrder>962</b:RefOrder>
  </b:Source>
  <b:Source>
    <b:Tag>MarcadorDePosición73</b:Tag>
    <b:SourceType>Book</b:SourceType>
    <b:Guid>{74F12D80-54FF-473A-AC5B-41E91780991E}</b:Guid>
    <b:Author>
      <b:Author>
        <b:NameList>
          <b:Person>
            <b:Last>Mendoza</b:Last>
            <b:First>Juan</b:First>
          </b:Person>
        </b:NameList>
      </b:Author>
    </b:Author>
    <b:Title>La educación del adolescente</b:Title>
    <b:Year>2009</b:Year>
    <b:City>Chile</b:City>
    <b:RefOrder>963</b:RefOrder>
  </b:Source>
  <b:Source>
    <b:Tag>Rob12</b:Tag>
    <b:SourceType>Book</b:SourceType>
    <b:Guid>{2D16B433-4290-438A-B73C-6B4BC8234C02}</b:Guid>
    <b:Author>
      <b:Author>
        <b:NameList>
          <b:Person>
            <b:Last>Mosquera</b:Last>
            <b:First>Roberto</b:First>
          </b:Person>
        </b:NameList>
      </b:Author>
    </b:Author>
    <b:Title>Psicología didáctica</b:Title>
    <b:Year>2012</b:Year>
    <b:City>México-México</b:City>
    <b:RefOrder>964</b:RefOrder>
  </b:Source>
  <b:Source>
    <b:Tag>Día171</b:Tag>
    <b:SourceType>JournalArticle</b:SourceType>
    <b:Guid>{64723903-B1A2-48A2-8514-47B5899F4D7D}</b:Guid>
    <b:Title>El concepto de familia en México: revisión desde la mirada antropológica y demográfica</b:Title>
    <b:JournalName>Ciencia Ergo-Sum</b:JournalName>
    <b:Year>2017</b:Year>
    <b:Pages>219-228</b:Pages>
    <b:Author>
      <b:Author>
        <b:NameList>
          <b:Person>
            <b:Last>Díaz</b:Last>
            <b:First>Karen</b:First>
          </b:Person>
          <b:Person>
            <b:Last>Gutiérrez</b:Last>
            <b:First>Reynaldo</b:First>
          </b:Person>
          <b:Person>
            <b:Last>Román</b:Last>
            <b:First>Rosa</b:First>
          </b:Person>
        </b:NameList>
      </b:Author>
    </b:Author>
    <b:Volume>23</b:Volume>
    <b:Issue>3</b:Issue>
    <b:RefOrder>965</b:RefOrder>
  </b:Source>
  <b:Source>
    <b:Tag>Ana19</b:Tag>
    <b:SourceType>JournalArticle</b:SourceType>
    <b:Guid>{374A255E-F7D3-426D-B4C3-B8984407ECBC}</b:Guid>
    <b:Title>Participación familiar en la educación escolar peruana</b:Title>
    <b:JournalName>Rev Inova Educación</b:JournalName>
    <b:Year>2019</b:Year>
    <b:Author>
      <b:Author>
        <b:NameList>
          <b:Person>
            <b:Last>Anaya</b:Last>
            <b:First>Julissa</b:First>
          </b:Person>
          <b:Person>
            <b:Last>Aza</b:Last>
            <b:First>Patty</b:First>
          </b:Person>
          <b:Person>
            <b:Last>García</b:Last>
            <b:First>Julia</b:First>
          </b:Person>
          <b:Person>
            <b:Last>Sucari</b:Last>
            <b:First>Wilson</b:First>
          </b:Person>
        </b:NameList>
      </b:Author>
    </b:Author>
    <b:Volume>1</b:Volume>
    <b:Issue>1</b:Issue>
    <b:Pages>6-18</b:Pages>
    <b:RefOrder>966</b:RefOrder>
  </b:Source>
  <b:Source>
    <b:Tag>Váz18</b:Tag>
    <b:SourceType>JournalArticle</b:SourceType>
    <b:Guid>{5C519CBF-F7CA-409A-8CAB-7D858E0BA141}</b:Guid>
    <b:Title>Lo histórico en famlias reconstruidas</b:Title>
    <b:JournalName>Granma</b:JournalName>
    <b:Year>2018</b:Year>
    <b:Pages>1-10</b:Pages>
    <b:Author>
      <b:Author>
        <b:NameList>
          <b:Person>
            <b:Last>Vázquez</b:Last>
            <b:First>Laritza</b:First>
          </b:Person>
        </b:NameList>
      </b:Author>
    </b:Author>
    <b:RefOrder>967</b:RefOrder>
  </b:Source>
  <b:Source>
    <b:Tag>Ais16</b:Tag>
    <b:SourceType>Report</b:SourceType>
    <b:Guid>{9074BFA9-5C9A-4400-9AA4-14AC62CC66B5}</b:Guid>
    <b:Title>Protocolo de actuación para la intevencíon familiar</b:Title>
    <b:Year>2016</b:Year>
    <b:Author>
      <b:Author>
        <b:NameList>
          <b:Person>
            <b:Last>Aisa</b:Last>
            <b:First>Oscar</b:First>
          </b:Person>
          <b:Person>
            <b:Last>Arias</b:Last>
            <b:First>Belén</b:First>
          </b:Person>
          <b:Person>
            <b:Last>Galve</b:Last>
            <b:First>Soledad</b:First>
          </b:Person>
          <b:Person>
            <b:Last>Gómez</b:Last>
            <b:First>Tomás</b:First>
          </b:Person>
          <b:Person>
            <b:Last>Pérez</b:Last>
            <b:First>Jesús</b:First>
          </b:Person>
          <b:Person>
            <b:Last>Pros</b:Last>
            <b:First>Alicia</b:First>
          </b:Person>
          <b:Person>
            <b:Last>Romeo</b:Last>
            <b:First>Patricia</b:First>
          </b:Person>
        </b:NameList>
      </b:Author>
    </b:Author>
    <b:Publisher>IASS</b:Publisher>
    <b:RefOrder>968</b:RefOrder>
  </b:Source>
  <b:Source>
    <b:Tag>Viq21</b:Tag>
    <b:SourceType>Book</b:SourceType>
    <b:Guid>{A10D5528-99ED-441A-9CC1-8A786E59FB45}</b:Guid>
    <b:Title>Atencióni a las unidades de convivencia</b:Title>
    <b:Year>2021</b:Year>
    <b:Author>
      <b:Author>
        <b:NameList>
          <b:Person>
            <b:Last>Viqueira</b:Last>
            <b:First>Vanessa</b:First>
          </b:Person>
        </b:NameList>
      </b:Author>
    </b:Author>
    <b:Publisher>Paraninfo</b:Publisher>
    <b:RefOrder>969</b:RefOrder>
  </b:Source>
  <b:Source>
    <b:Tag>Bar172</b:Tag>
    <b:SourceType>JournalArticle</b:SourceType>
    <b:Guid>{E6A45AB3-8621-4345-BADD-037FB7AF48D2}</b:Guid>
    <b:Title>La orientación familiar en la solución de problemas desde el análsisi de riesgo</b:Title>
    <b:Year>2017</b:Year>
    <b:Author>
      <b:Author>
        <b:NameList>
          <b:Person>
            <b:Last>Barzaga</b:Last>
            <b:First>Oscar</b:First>
          </b:Person>
          <b:Person>
            <b:Last>Zambrano</b:Last>
            <b:First>Rovinson</b:First>
          </b:Person>
        </b:NameList>
      </b:Author>
    </b:Author>
    <b:JournalName>Reista Cognosis</b:JournalName>
    <b:Pages>27-38</b:Pages>
    <b:Volume>3</b:Volume>
    <b:Issue>5</b:Issue>
    <b:RefOrder>970</b:RefOrder>
  </b:Source>
  <b:Source>
    <b:Tag>Est173</b:Tag>
    <b:SourceType>JournalArticle</b:SourceType>
    <b:Guid>{90BC3D03-98C4-41F6-BB9D-48D90D270960}</b:Guid>
    <b:Title>Algunas consideraciones sobre la orientación psicopedagógica familiar</b:Title>
    <b:JournalName>Universidad y Sociedad</b:JournalName>
    <b:Year>2017</b:Year>
    <b:Pages>135-140</b:Pages>
    <b:Author>
      <b:Author>
        <b:NameList>
          <b:Person>
            <b:Last>Estévez</b:Last>
            <b:First>María</b:First>
          </b:Person>
          <b:Person>
            <b:Last>Rojas</b:Last>
            <b:First>Adalia</b:First>
          </b:Person>
        </b:NameList>
      </b:Author>
    </b:Author>
    <b:Volume>9</b:Volume>
    <b:Issue>4</b:Issue>
    <b:RefOrder>971</b:RefOrder>
  </b:Source>
  <b:Source>
    <b:Tag>Mac20</b:Tag>
    <b:SourceType>JournalArticle</b:SourceType>
    <b:Guid>{E1BC9C57-FE90-4FD1-9DDB-18324DAF7A3B}</b:Guid>
    <b:Title>Prevención en salud mental, familia, escuela y sociedad</b:Title>
    <b:Year>2020</b:Year>
    <b:Author>
      <b:Author>
        <b:NameList>
          <b:Person>
            <b:Last>Macías</b:Last>
            <b:First>Raymundo</b:First>
          </b:Person>
        </b:NameList>
      </b:Author>
    </b:Author>
    <b:JournalName>Neurología, Neurocirugía y Psiquiatría</b:JournalName>
    <b:Pages>28-37</b:Pages>
    <b:Volume>48</b:Volume>
    <b:Issue>1</b:Issue>
    <b:RefOrder>972</b:RefOrder>
  </b:Source>
  <b:Source>
    <b:Tag>Gue191</b:Tag>
    <b:SourceType>Report</b:SourceType>
    <b:Guid>{8574106C-3197-40ED-818C-9FE7954886EB}</b:Guid>
    <b:Title>Relación entre comunicación familiar y tipo de familia de una institución educativa</b:Title>
    <b:Year>2019</b:Year>
    <b:Publisher>Universidad Católica Los Ángeles de Chimbote</b:Publisher>
    <b:Author>
      <b:Author>
        <b:NameList>
          <b:Person>
            <b:Last>Guerrero</b:Last>
            <b:First>Paola</b:First>
          </b:Person>
        </b:NameList>
      </b:Author>
    </b:Author>
    <b:RefOrder>973</b:RefOrder>
  </b:Source>
  <b:Source>
    <b:Tag>Cas192</b:Tag>
    <b:SourceType>JournalArticle</b:SourceType>
    <b:Guid>{DCA0B1EF-4FC1-47CC-805B-C5F78AE5D918}</b:Guid>
    <b:Title>Factores familiares y escolares que influyen en los problemas de conducta y de aprendizaje en los niños</b:Title>
    <b:JournalName>Academo</b:JournalName>
    <b:Year>2019</b:Year>
    <b:Pages>124-134</b:Pages>
    <b:Author>
      <b:Author>
        <b:NameList>
          <b:Person>
            <b:Last>Castillo</b:Last>
            <b:First>Karla</b:First>
          </b:Person>
          <b:Person>
            <b:Last>Chávez</b:Last>
            <b:First>Paula</b:First>
          </b:Person>
          <b:Person>
            <b:Last>Zoller</b:Last>
            <b:First>María</b:First>
          </b:Person>
        </b:NameList>
      </b:Author>
    </b:Author>
    <b:Volume>6</b:Volume>
    <b:Issue>2</b:Issue>
    <b:RefOrder>974</b:RefOrder>
  </b:Source>
  <b:Source>
    <b:Tag>Cue17</b:Tag>
    <b:SourceType>JournalArticle</b:SourceType>
    <b:Guid>{8AC519C5-DD99-4652-89BC-4030696B6CAC}</b:Guid>
    <b:Title>Orientación a la familia para la prevención de desviaciones en el desarrollo de niños en la primera infancia</b:Title>
    <b:JournalName>Humanidades Médicas</b:JournalName>
    <b:Year>2017</b:Year>
    <b:Pages>253-269</b:Pages>
    <b:Author>
      <b:Author>
        <b:NameList>
          <b:Person>
            <b:Last>Cuenca</b:Last>
            <b:First>Maritiza</b:First>
          </b:Person>
          <b:Person>
            <b:Last>Moreno</b:Last>
            <b:First>Vilma</b:First>
          </b:Person>
          <b:Person>
            <b:Last>Sampayo</b:Last>
            <b:First>Isabel</b:First>
          </b:Person>
        </b:NameList>
      </b:Author>
    </b:Author>
    <b:Volume>17</b:Volume>
    <b:Issue>2</b:Issue>
    <b:RefOrder>975</b:RefOrder>
  </b:Source>
  <b:Source>
    <b:Tag>Nis15</b:Tag>
    <b:SourceType>Book</b:SourceType>
    <b:Guid>{8052E84D-19C2-4867-8F7C-1FABA06ADF91}</b:Guid>
    <b:Title>Movimiento y expresión corporal en Educación Infantil</b:Title>
    <b:Year>2015</b:Year>
    <b:City>Madrid</b:City>
    <b:Publisher>Narcea</b:Publisher>
    <b:Author>
      <b:Author>
        <b:NameList>
          <b:Person>
            <b:Last>Nista</b:Last>
            <b:First>Leni</b:First>
          </b:Person>
          <b:Person>
            <b:Last>Moreira</b:Last>
            <b:First>Wey</b:First>
          </b:Person>
        </b:NameList>
      </b:Author>
    </b:Author>
    <b:RefOrder>976</b:RefOrder>
  </b:Source>
  <b:Source>
    <b:Tag>Ram16</b:Tag>
    <b:SourceType>JournalArticle</b:SourceType>
    <b:Guid>{2543254F-2E7B-456E-AD05-5C7676C8A9E1}</b:Guid>
    <b:Title>volución de la práctica de actividad física en los adolescentes españoles</b:Title>
    <b:Year>2016</b:Year>
    <b:JournalName>Revista Internacional de Medicina y Ciencias de la Actividad Física y del Deporte</b:JournalName>
    <b:Pages>335-353</b:Pages>
    <b:Author>
      <b:Author>
        <b:NameList>
          <b:Person>
            <b:Last>Ramos</b:Last>
            <b:First>Pilar</b:First>
          </b:Person>
        </b:NameList>
      </b:Author>
    </b:Author>
    <b:Volume>16</b:Volume>
    <b:Issue>62</b:Issue>
    <b:RefOrder>977</b:RefOrder>
  </b:Source>
  <b:Source>
    <b:Tag>Cru18</b:Tag>
    <b:SourceType>JournalArticle</b:SourceType>
    <b:Guid>{E1959B87-A674-42C6-9950-7BD810A73D29}</b:Guid>
    <b:Title>Impacto de un programa de actividad motriz con funciones ejecutivas para el fortalecimiento del desarrollo integral del</b:Title>
    <b:Year>2018</b:Year>
    <b:JournalName>Sportis</b:JournalName>
    <b:Pages>37-58</b:Pages>
    <b:Volume>4</b:Volume>
    <b:Issue>1</b:Issue>
    <b:Author>
      <b:Author>
        <b:NameList>
          <b:Person>
            <b:Last>Cruz</b:Last>
            <b:First>Concepción</b:First>
          </b:Person>
          <b:Person>
            <b:Last>Chávez</b:Last>
            <b:First>María</b:First>
          </b:Person>
          <b:Person>
            <b:Last>García</b:Last>
            <b:First>David</b:First>
          </b:Person>
          <b:Person>
            <b:Last>Guedea</b:Last>
            <b:First>Julio</b:First>
          </b:Person>
          <b:Person>
            <b:Last>Velázquez</b:Last>
            <b:First>Gabriela</b:First>
          </b:Person>
          <b:Person>
            <b:Last>Zubiaur</b:Last>
            <b:First>Marta</b:First>
          </b:Person>
        </b:NameList>
      </b:Author>
    </b:Author>
    <b:RefOrder>978</b:RefOrder>
  </b:Source>
  <b:Source>
    <b:Tag>Med15</b:Tag>
    <b:SourceType>JournalArticle</b:SourceType>
    <b:Guid>{F3A72168-9809-4E15-AA29-2BA4F9E99194}</b:Guid>
    <b:Title>Neurodesarrollo infantil: caracteristicas normales y signos de alarma en el niño menor de cinco años</b:Title>
    <b:Year>2015</b:Year>
    <b:Author>
      <b:Author>
        <b:NameList>
          <b:Person>
            <b:Last>Medina</b:Last>
            <b:First>María</b:First>
          </b:Person>
          <b:Person>
            <b:Last>Kahn</b:Last>
            <b:First>Inés</b:First>
          </b:Person>
          <b:Person>
            <b:Last>Muñoz</b:Last>
            <b:First>Pamela</b:First>
          </b:Person>
          <b:Person>
            <b:Last>Janette</b:Last>
            <b:First>Leyva</b:First>
          </b:Person>
          <b:Person>
            <b:Last>Moreno</b:Last>
            <b:First>José</b:First>
          </b:Person>
          <b:Person>
            <b:Last>Vega</b:Last>
            <b:First>Sarah</b:First>
          </b:Person>
        </b:NameList>
      </b:Author>
    </b:Author>
    <b:JournalName>Med Exp Salud Publica</b:JournalName>
    <b:Pages>565-573</b:Pages>
    <b:Volume>32</b:Volume>
    <b:Issue>3</b:Issue>
    <b:RefOrder>979</b:RefOrder>
  </b:Source>
  <b:Source>
    <b:Tag>Cas181</b:Tag>
    <b:SourceType>JournalArticle</b:SourceType>
    <b:Guid>{14F63BB3-75F3-406B-BB86-F4F00CFA49D4}</b:Guid>
    <b:Title>Rincones de aprendizaje en el desarrollo del razonamiento lógico-matemático</b:Title>
    <b:JournalName>Atlante. Cuadernos de Educación y Desarrollo</b:JournalName>
    <b:Year>2018</b:Year>
    <b:Pages>10-21</b:Pages>
    <b:Author>
      <b:Author>
        <b:NameList>
          <b:Person>
            <b:Last>Castillo</b:Last>
            <b:First>Mónica</b:First>
          </b:Person>
          <b:Person>
            <b:Last>Guerrero</b:Last>
            <b:First>Luis</b:First>
          </b:Person>
          <b:Person>
            <b:Last>Campaña</b:Last>
            <b:First>Armando</b:First>
          </b:Person>
          <b:Person>
            <b:Last>Castro</b:Last>
            <b:First>Maritza</b:First>
          </b:Person>
          <b:Person>
            <b:Last>Hernández</b:Last>
            <b:First>Héctor</b:First>
          </b:Person>
        </b:NameList>
      </b:Author>
    </b:Author>
    <b:URL>ISSN: 1989-4155</b:URL>
    <b:RefOrder>980</b:RefOrder>
  </b:Source>
  <b:Source>
    <b:Tag>Apa16</b:Tag>
    <b:SourceType>Report</b:SourceType>
    <b:Guid>{854ECC5E-D9C5-476D-82C8-640F58D0DDE3}</b:Guid>
    <b:Title>Inteligencia Emocional y Bienestar II</b:Title>
    <b:Year>2016</b:Year>
    <b:Author>
      <b:Author>
        <b:NameList>
          <b:Person>
            <b:Last>Aparicio</b:Last>
            <b:First>L</b:First>
          </b:Person>
          <b:Person>
            <b:Last>Escolano</b:Last>
            <b:First>E</b:First>
          </b:Person>
          <b:Person>
            <b:Last>Díaz</b:Last>
            <b:First>O</b:First>
          </b:Person>
          <b:Person>
            <b:Last>Rodríguez</b:Last>
            <b:First>A</b:First>
          </b:Person>
          <b:Person>
            <b:Last>Solor</b:Last>
            <b:First>J</b:First>
          </b:Person>
        </b:NameList>
      </b:Author>
    </b:Author>
    <b:Publisher>Universidad San Jorge</b:Publisher>
    <b:RefOrder>981</b:RefOrder>
  </b:Source>
  <b:Source>
    <b:Tag>Bas19</b:Tag>
    <b:SourceType>JournalArticle</b:SourceType>
    <b:Guid>{7156915D-CD60-431A-B106-9C4B39B4E3CA}</b:Guid>
    <b:Title>Estudio del rol de los padres de familia en la vidad emocional de los hijos</b:Title>
    <b:Year>2019</b:Year>
    <b:Author>
      <b:Author>
        <b:NameList>
          <b:Person>
            <b:Last>Bastidas</b:Last>
            <b:First>Brenda</b:First>
          </b:Person>
          <b:Person>
            <b:Last>Guzmán</b:Last>
            <b:First>Kennya</b:First>
          </b:Person>
          <b:Person>
            <b:Last>Mendoza</b:Last>
            <b:First>Mercedes</b:First>
          </b:Person>
        </b:NameList>
      </b:Author>
    </b:Author>
    <b:JournalName>Apuntes Universitarios. Rev. de Investigación</b:JournalName>
    <b:Pages>61-72</b:Pages>
    <b:Volume>9</b:Volume>
    <b:Issue>2</b:Issue>
    <b:RefOrder>982</b:RefOrder>
  </b:Source>
  <b:Source>
    <b:Tag>Bal181</b:Tag>
    <b:SourceType>JournalArticle</b:SourceType>
    <b:Guid>{0B75C3FE-025C-49CB-B2E1-CDC94E2A6774}</b:Guid>
    <b:Title>Contexto y propuesta del radio de acción de la familia</b:Title>
    <b:JournalName>Apuntes Universitarios. Rev. de Investigación</b:JournalName>
    <b:Year>2018</b:Year>
    <b:Pages>13-20</b:Pages>
    <b:Author>
      <b:Author>
        <b:NameList>
          <b:Person>
            <b:Last>Balabarca</b:Last>
            <b:First>Yván</b:First>
          </b:Person>
        </b:NameList>
      </b:Author>
    </b:Author>
    <b:Volume>8</b:Volume>
    <b:Issue>2</b:Issue>
    <b:RefOrder>983</b:RefOrder>
  </b:Source>
  <b:Source>
    <b:Tag>Suá181</b:Tag>
    <b:SourceType>JournalArticle</b:SourceType>
    <b:Guid>{EE58DE4F-AC8E-4883-BF8E-7324D227B3DE}</b:Guid>
    <b:Title>El papel de la familia en el desarrollo social del niño: na mirada desde la afectividad, la comunicación familiar y estilos de educación parental</b:Title>
    <b:Year>2018</b:Year>
    <b:Author>
      <b:Author>
        <b:NameList>
          <b:Person>
            <b:Last>Suárez</b:Last>
            <b:First>Paula</b:First>
          </b:Person>
          <b:Person>
            <b:Last>Vélez</b:Last>
            <b:First>Maribel</b:First>
          </b:Person>
        </b:NameList>
      </b:Author>
    </b:Author>
    <b:JournalName>Psicoespacios</b:JournalName>
    <b:Volume>12</b:Volume>
    <b:Issue>20</b:Issue>
    <b:Pages>173-197</b:Pages>
    <b:RefOrder>984</b:RefOrder>
  </b:Source>
  <b:Source>
    <b:Tag>Pon17</b:Tag>
    <b:SourceType>JournalArticle</b:SourceType>
    <b:Guid>{2E60AA34-C730-4219-8D52-F81AB919974B}</b:Guid>
    <b:Title>Atención temprana en niños con trastornos del neurodesarrollo</b:Title>
    <b:JournalName>Propósitos y Representaciones</b:JournalName>
    <b:Year>2017</b:Year>
    <b:Pages>403 - 422</b:Pages>
    <b:Author>
      <b:Author>
        <b:NameList>
          <b:Person>
            <b:Last>Ponce</b:Last>
            <b:First>Jacqueline</b:First>
          </b:Person>
        </b:NameList>
      </b:Author>
    </b:Author>
    <b:Volume>5</b:Volume>
    <b:Issue>1</b:Issue>
    <b:RefOrder>985</b:RefOrder>
  </b:Source>
  <b:Source>
    <b:Tag>FEC11</b:Tag>
    <b:SourceType>JournalArticle</b:SourceType>
    <b:Guid>{3F86EDB5-1E99-401A-801E-1783429ECDF1}</b:Guid>
    <b:Author>
      <b:Author>
        <b:Corporate>FE- CCOO</b:Corporate>
      </b:Author>
    </b:Author>
    <b:Title>La Estimulación Temprana y su Importancia</b:Title>
    <b:JournalName>Revista Digital Para Profesionales de la Enseñanza Nro. 17. ISNN: 1989-4023/Federación de Enseñanza de Comisiones Obreras de Andalucía (FE CCOO). https://www.feandalucia.ccoo.es/docu/p5sd8727.pdf</b:JournalName>
    <b:Year>2011</b:Year>
    <b:Pages>pp.1-16</b:Pages>
    <b:RefOrder>986</b:RefOrder>
  </b:Source>
  <b:Source>
    <b:Tag>Nuñ09</b:Tag>
    <b:SourceType>JournalArticle</b:SourceType>
    <b:Guid>{A3DC35AB-B435-4B33-A210-86CD3E4DB2F3}</b:Guid>
    <b:Title>El clima escolar, clave para el aprendizaje</b:Title>
    <b:JournalName>Infocop on line. Consejo General de la Psicología de España. Universidad de Oviedo. https://www.infocop.es/view_article.asp?id=2540</b:JournalName>
    <b:Year>2009</b:Year>
    <b:Author>
      <b:Author>
        <b:NameList>
          <b:Person>
            <b:Last>Nuñez</b:Last>
            <b:First>J</b:First>
          </b:Person>
        </b:NameList>
      </b:Author>
    </b:Author>
    <b:RefOrder>987</b:RefOrder>
  </b:Source>
  <b:Source>
    <b:Tag>Sep18</b:Tag>
    <b:SourceType>JournalArticle</b:SourceType>
    <b:Guid>{5A09E490-00F4-447F-A9FB-E51ED823B8FF}</b:Guid>
    <b:Title>El ambiente como potenciador del desarrollo integral de los niños </b:Title>
    <b:JournalName>https://maguared.gov.co/el-ambiente-como-potenciador-de-los-ninos/</b:JournalName>
    <b:Year>2018</b:Year>
    <b:Pages>pp.1-15</b:Pages>
    <b:Author>
      <b:Author>
        <b:NameList>
          <b:Person>
            <b:Last>Sepúlveda</b:Last>
            <b:First>F</b:First>
          </b:Person>
        </b:NameList>
      </b:Author>
    </b:Author>
    <b:RefOrder>988</b:RefOrder>
  </b:Source>
  <b:Source>
    <b:Tag>Fre99</b:Tag>
    <b:SourceType>JournalArticle</b:SourceType>
    <b:Guid>{A545C4AD-D6D9-47D0-994D-17CEEBC03EEC}</b:Guid>
    <b:Title>Measuring, Improving and Sustaining Healthy Learning Environments </b:Title>
    <b:JournalName>Londres: Falmer Press</b:JournalName>
    <b:Year>1999</b:Year>
    <b:Pages>pp. 11-30</b:Pages>
    <b:Author>
      <b:Author>
        <b:NameList>
          <b:Person>
            <b:Last>Freiberg</b:Last>
            <b:First>H</b:First>
          </b:Person>
          <b:Person>
            <b:Last>Stein</b:Last>
            <b:First>T</b:First>
          </b:Person>
        </b:NameList>
      </b:Author>
    </b:Author>
    <b:RefOrder>989</b:RefOrder>
  </b:Source>
  <b:Source>
    <b:Tag>Chu19</b:Tag>
    <b:SourceType>JournalArticle</b:SourceType>
    <b:Guid>{627104C1-A5FE-4932-911C-B546C8E8C1BA}</b:Guid>
    <b:Title>Ambiente estimulante y el desarrollo de las sensopercepciones en niños y niñas de 1 a 3 años en el CDI Antonio Gil y el Centro Infantil Mis primeros amigos</b:Title>
    <b:JournalName>Universidad Central del Ecuador (UCE). Quito, Ecuador. Trabajo de Titulación. http://www.dspace.uce.edu.ec/handle/25000/18974</b:JournalName>
    <b:Year>2019</b:Year>
    <b:Pages>pp.93</b:Pages>
    <b:Author>
      <b:Author>
        <b:NameList>
          <b:Person>
            <b:Last>Chugá Fuentes</b:Last>
            <b:First>G</b:First>
          </b:Person>
          <b:Person>
            <b:Last>Sierra Sampedro</b:Last>
            <b:First>J</b:First>
          </b:Person>
        </b:NameList>
      </b:Author>
    </b:Author>
    <b:RefOrder>990</b:RefOrder>
  </b:Source>
  <b:Source>
    <b:Tag>Gar143</b:Tag>
    <b:SourceType>JournalArticle</b:SourceType>
    <b:Guid>{E57E743B-E7EE-4A90-BFA3-9876FCCBA9A5}</b:Guid>
    <b:Title>El Impacto de la Estimulación Temprana en la Primera Infancia: Estudio Comparativo entre Ambiente Escolarizado y Ambiente Hogar</b:Title>
    <b:JournalName>Universidad de Monterrey. México. Trabajo de Grado de Maestria</b:JournalName>
    <b:Year>2014</b:Year>
    <b:Pages>pp.105</b:Pages>
    <b:Author>
      <b:Author>
        <b:NameList>
          <b:Person>
            <b:Last>Garza</b:Last>
            <b:First>J</b:First>
          </b:Person>
        </b:NameList>
      </b:Author>
    </b:Author>
    <b:RefOrder>991</b:RefOrder>
  </b:Source>
  <b:Source>
    <b:Tag>Val162</b:Tag>
    <b:SourceType>JournalArticle</b:SourceType>
    <b:Guid>{0959E099-1F91-4939-B9AB-E8193CF9E77F}</b:Guid>
    <b:Title>Técnicas de Estimulación y su Incidencia en el Periodo de Adaptación de los Niños y Niñas de 4 a 5 Años de la Unidad Educativa Rumipamba de la Parroquia La Esperanza, de la Ciudad De Ibarra, Provincia de Imbabura, en el Año 2014 – 2015</b:Title>
    <b:JournalName>Universidad Técnica del Norte (UTN). ciudad de Ibarra, Ecuador.Trabajo de Títulación. http://repositorio.utn.edu.ec/bitstream/123456789/8425/1/05%20FECYT%202868%20TRABAJO%20GRADO.pdf</b:JournalName>
    <b:Year>2016</b:Year>
    <b:Pages>pp.143</b:Pages>
    <b:Author>
      <b:Author>
        <b:NameList>
          <b:Person>
            <b:Last>Vallejo</b:Last>
            <b:First>B</b:First>
          </b:Person>
        </b:NameList>
      </b:Author>
    </b:Author>
    <b:RefOrder>992</b:RefOrder>
  </b:Source>
  <b:Source>
    <b:Tag>Mur07</b:Tag>
    <b:SourceType>JournalArticle</b:SourceType>
    <b:Guid>{F8AB132B-C47C-4D2E-9593-C970C6974BE4}</b:Guid>
    <b:Title>Investigación Iberoamericana sobre Eficacia Escolar</b:Title>
    <b:JournalName>Convenio Andrés Bello. Bogotá. Colombia</b:JournalName>
    <b:Year>2007</b:Year>
    <b:Author>
      <b:Author>
        <b:NameList>
          <b:Person>
            <b:Last>Murillo</b:Last>
            <b:First>F</b:First>
          </b:Person>
        </b:NameList>
      </b:Author>
    </b:Author>
    <b:RefOrder>993</b:RefOrder>
  </b:Source>
  <b:Source>
    <b:Tag>Tre13</b:Tag>
    <b:SourceType>Book</b:SourceType>
    <b:Guid>{00CBAC56-183F-4E7A-94DE-B5CCDE72DAFE}</b:Guid>
    <b:Title>Análisis del clima escolar, ¿poderoso factor que explica el aprendizaje en América Latina y el Caribe?</b:Title>
    <b:Year>2013</b:Year>
    <b:Author>
      <b:Author>
        <b:NameList>
          <b:Person>
            <b:Last>Treviño</b:Last>
            <b:First>E</b:First>
          </b:Person>
          <b:Person>
            <b:Last>Lugar</b:Last>
            <b:First>K</b:First>
          </b:Person>
          <b:Person>
            <b:Last>Gempp</b:Last>
            <b:First>R</b:First>
          </b:Person>
        </b:NameList>
      </b:Author>
    </b:Author>
    <b:City>Santiago de Chile, Chile</b:City>
    <b:Publisher>UNESCO/Cooperación Española y la Editorial Santillana</b:Publisher>
    <b:RefOrder>994</b:RefOrder>
  </b:Source>
  <b:Source>
    <b:Tag>Anc15</b:Tag>
    <b:SourceType>JournalArticle</b:SourceType>
    <b:Guid>{1E5D3E8D-2617-48F6-9873-4A5123D48023}</b:Guid>
    <b:Title>El clima escolar y su influencia en el proceso enseñanza –aprendizaje del Bachillerato del Colegio Nacional Manta de Manta, 2010 2011</b:Title>
    <b:Year>2015</b:Year>
    <b:Author>
      <b:Author>
        <b:NameList>
          <b:Person>
            <b:Last>Anchundia</b:Last>
            <b:First>G</b:First>
          </b:Person>
        </b:NameList>
      </b:Author>
    </b:Author>
    <b:JournalName>Universidad Andina Simón Bolívar.  Sede Ecuador. Quito.Trabajo de Maestría. https://repositorio.uasb.edu.ec/bitstream/10644/6352/1/T2698-MGE-Anchundia-El%20clima.pdf</b:JournalName>
    <b:Pages>pp.82</b:Pages>
    <b:RefOrder>995</b:RefOrder>
  </b:Source>
  <b:Source>
    <b:Tag>UDE14</b:Tag>
    <b:SourceType>JournalArticle</b:SourceType>
    <b:Guid>{D8AE0F0C-37D3-4E60-8554-58A44F547E76}</b:Guid>
    <b:Title>Buenas Prácticas de Estimulación Temprana para el Desarrollo Infantil</b:Title>
    <b:Year>2014</b:Year>
    <b:Author>
      <b:Author>
        <b:Corporate>UDELAS</b:Corporate>
      </b:Author>
    </b:Author>
    <b:JournalName>Universidad Especializada de las Américas (UDELAS)/UNICEF. Panamá, República de Panamá</b:JournalName>
    <b:Pages>pp.149</b:Pages>
    <b:RefOrder>996</b:RefOrder>
  </b:Source>
  <b:Source>
    <b:Tag>Ter02</b:Tag>
    <b:SourceType>JournalArticle</b:SourceType>
    <b:Guid>{AFB64CF7-6D9E-4AFE-B34A-25819C9D7DE5}</b:Guid>
    <b:Title>Educación y Estimulación Multisesnsorial</b:Title>
    <b:JournalName>Editorial: Libro Amigo. Perú. http://www.orlandoterre.com/pren7.html</b:JournalName>
    <b:Year>2002</b:Year>
    <b:Author>
      <b:Author>
        <b:NameList>
          <b:Person>
            <b:Last>Terré</b:Last>
            <b:First>O</b:First>
          </b:Person>
        </b:NameList>
      </b:Author>
    </b:Author>
    <b:RefOrder>997</b:RefOrder>
  </b:Source>
  <b:Source>
    <b:Tag>FEC12</b:Tag>
    <b:SourceType>JournalArticle</b:SourceType>
    <b:Guid>{7121022A-2AFA-415C-BF39-0F9459D054E3}</b:Guid>
    <b:Author>
      <b:Author>
        <b:Corporate>FE-CCOO</b:Corporate>
      </b:Author>
    </b:Author>
    <b:Title>Estimulación Temprana en los Niños-as</b:Title>
    <b:JournalName>Revista Digital para Profesionales de la Enseñanza. Nro.19. Andalucia, España. https://www.feandalucia.ccoo.es/docu/p5sd9223.pdf</b:JournalName>
    <b:Year>2012 </b:Year>
    <b:Pages>pp.1-7</b:Pages>
    <b:RefOrder>998</b:RefOrder>
  </b:Source>
  <b:Source>
    <b:Tag>Sec16</b:Tag>
    <b:SourceType>JournalArticle</b:SourceType>
    <b:Guid>{498BB413-CBCE-47A1-A95D-4EE661C6691E}</b:Guid>
    <b:Author>
      <b:Author>
        <b:Corporate>Secretaria Técnica Ecuador</b:Corporate>
      </b:Author>
    </b:Author>
    <b:Title>Primera Infancia</b:Title>
    <b:JournalName>Secretaria Técnica Ecuador. https://www.infancia.gob.ec/estrategia-nacional-intersectorial-para-la-primera-infancia-infancia-plena/</b:JournalName>
    <b:Year>2016</b:Year>
    <b:RefOrder>999</b:RefOrder>
  </b:Source>
  <b:Source>
    <b:Tag>Rey21</b:Tag>
    <b:SourceType>Book</b:SourceType>
    <b:Guid>{0B3CDA21-47DF-4307-B999-295916FBC371}</b:Guid>
    <b:Title>Políticas públicas para la infancia, un paradigma de esperanza en Ecuador. Una mirada inclusiva en educación inicial</b:Title>
    <b:Year>2021</b:Year>
    <b:Author>
      <b:Author>
        <b:NameList>
          <b:Person>
            <b:Last>Reyes</b:Last>
            <b:First>D</b:First>
          </b:Person>
        </b:NameList>
      </b:Author>
    </b:Author>
    <b:City>Machala-Ecuador</b:City>
    <b:Publisher>Ediciones UTMACH (Universidad Técnica de Machala). Primera edición. pp.103. http://repositorio.utmachala.edu.ec/bitstream/48000/17884/3/Poli%CC%81ticas%20pu%CC%81blicas%20para%20la%20infancia%20%281%29.pdf</b:Publisher>
    <b:RefOrder>1000</b:RefOrder>
  </b:Source>
  <b:Source>
    <b:Tag>Con088</b:Tag>
    <b:SourceType>Book</b:SourceType>
    <b:Guid>{429B4BB4-4600-4411-BB87-5F6DA539176C}</b:Guid>
    <b:Author>
      <b:Author>
        <b:Corporate>Constitución de la República</b:Corporate>
      </b:Author>
    </b:Author>
    <b:Title>Constitución de la República del Ecuador 2008</b:Title>
    <b:Year>2008</b:Year>
    <b:City>Quito, Ecuador</b:City>
    <b:Publisher>Decreto Legislativo 0. Registro Oficial 449 de 20-oct-2008. Ultima modificación: 13-jul-2011. pp.136. https://www.oas.org/juridico/pdfs/mesicic4_ecu_const.pdf</b:Publisher>
    <b:RefOrder>1001</b:RefOrder>
  </b:Source>
  <b:Source>
    <b:Tag>Chá94</b:Tag>
    <b:SourceType>Book</b:SourceType>
    <b:Guid>{0C230478-5AF5-4C5B-9A30-D6BC2BD6C544}</b:Guid>
    <b:Title>Introduccion a la investigación educativa</b:Title>
    <b:Year>1994</b:Year>
    <b:City>Maracaibo, Venezuela </b:City>
    <b:Publisher>2ª reimpresión. pp. 135..ISBN: 9802950688</b:Publisher>
    <b:Author>
      <b:Author>
        <b:NameList>
          <b:Person>
            <b:Last>Chávez</b:Last>
            <b:First>N</b:First>
          </b:Person>
        </b:NameList>
      </b:Author>
    </b:Author>
    <b:RefOrder>1002</b:RefOrder>
  </b:Source>
  <b:Source>
    <b:Tag>Her1425</b:Tag>
    <b:SourceType>Book</b:SourceType>
    <b:Guid>{58C8C8D9-DC64-4966-9274-C219191EFC42}</b:Guid>
    <b:Title>Metodología de la Investigación</b:Title>
    <b:Year>2014</b:Year>
    <b:City>México</b:City>
    <b:Publisher>McGraw-Hill. Sexta edición</b:Publisher>
    <b:Author>
      <b:Author>
        <b:NameList>
          <b:Person>
            <b:Last>Hernández</b:Last>
            <b:First>R</b:First>
          </b:Person>
          <b:Person>
            <b:Last>Fernández</b:Last>
            <b:First>C</b:First>
          </b:Person>
          <b:Person>
            <b:Last>Baptista</b:Last>
            <b:First>L</b:First>
          </b:Person>
        </b:NameList>
      </b:Author>
    </b:Author>
    <b:RefOrder>1003</b:RefOrder>
  </b:Source>
  <b:Source>
    <b:Tag>Tam077</b:Tag>
    <b:SourceType>Book</b:SourceType>
    <b:Guid>{888AE7D4-FC44-402B-BEC1-D51830C4F222}</b:Guid>
    <b:Title>El proceso de investigación científica </b:Title>
    <b:Year>2007</b:Year>
    <b:City>México</b:City>
    <b:Publisher>Editorial Limusa</b:Publisher>
    <b:Author>
      <b:Author>
        <b:NameList>
          <b:Person>
            <b:Last>Tamayo</b:Last>
            <b:First>M</b:First>
          </b:Person>
          <b:Person>
            <b:Last>Tamayo</b:Last>
          </b:Person>
        </b:NameList>
      </b:Author>
    </b:Author>
    <b:RefOrder>1004</b:RefOrder>
  </b:Source>
  <b:Source>
    <b:Tag>Bav01</b:Tag>
    <b:SourceType>Book</b:SourceType>
    <b:Guid>{602A9EED-D486-4D9D-851C-6AB88D30E5B4}</b:Guid>
    <b:Title>Proceso Metodológico en la Investigación: Cómo hacer un Diseño de Investigación</b:Title>
    <b:Year>2001</b:Year>
    <b:City>Maracaibo, Venezuela</b:City>
    <b:Publisher>Ediluz. 4a. ed.ISBN 	980-296-877-3</b:Publisher>
    <b:Author>
      <b:Author>
        <b:NameList>
          <b:Person>
            <b:Last>Bavaresco</b:Last>
            <b:First>A</b:First>
          </b:Person>
        </b:NameList>
      </b:Author>
    </b:Author>
    <b:RefOrder>1005</b:RefOrder>
  </b:Source>
  <b:Source>
    <b:Tag>Sab96</b:Tag>
    <b:SourceType>Book</b:SourceType>
    <b:Guid>{99C0F42F-D38C-43BA-BC1C-8E1245640A69}</b:Guid>
    <b:Title>El Proceso  de Investigación</b:Title>
    <b:Year>1996</b:Year>
    <b:City>Caracas, Venezuela</b:City>
    <b:Publisher>Ed. Panapo. págs. 216 </b:Publisher>
    <b:Author>
      <b:Author>
        <b:NameList>
          <b:Person>
            <b:Last>Sabino</b:Last>
            <b:First>C</b:First>
          </b:Person>
        </b:NameList>
      </b:Author>
    </b:Author>
    <b:RefOrder>1006</b:RefOrder>
  </b:Source>
  <b:Source>
    <b:Tag>Pal066</b:Tag>
    <b:SourceType>Book</b:SourceType>
    <b:Guid>{39DBCAFF-BC53-4017-810D-33CB798B3102}</b:Guid>
    <b:Title>Metodología deMetodología de la investigación cuantitativa</b:Title>
    <b:Year>2006</b:Year>
    <b:City>Caracas, Venezuela</b:City>
    <b:Publisher>Fondo Editorial Universidad Pedagógica Experimental Libertador (FEDUPEL). 2ª edición</b:Publisher>
    <b:Author>
      <b:Author>
        <b:NameList>
          <b:Person>
            <b:Last>Palella</b:Last>
            <b:First>S</b:First>
          </b:Person>
          <b:Person>
            <b:Last>Martins</b:Last>
            <b:First>F</b:First>
          </b:Person>
        </b:NameList>
      </b:Author>
    </b:Author>
    <b:RefOrder>1007</b:RefOrder>
  </b:Source>
  <b:Source>
    <b:Tag>Río21</b:Tag>
    <b:SourceType>JournalArticle</b:SourceType>
    <b:Guid>{E8565903-0335-461C-812C-FAE2D2D252B7}</b:Guid>
    <b:Title>La estimulación temprana como base para los procesos de enseñanza-aprendizaje en la educación infantil</b:Title>
    <b:JournalName>Ciencia Digital, 5(1). https://doi.org/10.33262/cienciadigital.v5i1.1543. https://cienciadigital.org/revistacienciadigital2/index.php/CienciaDigital/article/view/1543/3982</b:JournalName>
    <b:Year>2021</b:Year>
    <b:Author>
      <b:Author>
        <b:NameList>
          <b:Person>
            <b:Last>Ríos</b:Last>
            <b:First>R</b:First>
          </b:Person>
          <b:Person>
            <b:Last>Coral</b:Last>
            <b:First>S</b:First>
          </b:Person>
          <b:Person>
            <b:Last>Carrasco</b:Last>
            <b:First>O</b:First>
          </b:Person>
          <b:Person>
            <b:Last>Espinoza</b:Last>
            <b:First>C</b:First>
          </b:Person>
        </b:NameList>
      </b:Author>
    </b:Author>
    <b:Pages>pp.252-271</b:Pages>
    <b:RefOrder>1008</b:RefOrder>
  </b:Source>
  <b:Source>
    <b:Tag>Hin20</b:Tag>
    <b:SourceType>JournalArticle</b:SourceType>
    <b:Guid>{60FF5159-251E-4E88-8B96-1260319E75D9}</b:Guid>
    <b:Title>Características del clima escolar en niños de la tercera infancia</b:Title>
    <b:JournalName>Universidad Antonio Nariño. Ibagué, Colombia. Trabajo de Titulación. http://repositorio.uan.edu.co/bitstream/123456789/2488/2/2020JohanaAlexandraHincapieCardona.pdf</b:JournalName>
    <b:Year>2020</b:Year>
    <b:Pages>pp.68</b:Pages>
    <b:Author>
      <b:Author>
        <b:NameList>
          <b:Person>
            <b:Last>Hincapié</b:Last>
            <b:First>J</b:First>
          </b:Person>
        </b:NameList>
      </b:Author>
    </b:Author>
    <b:RefOrder>1009</b:RefOrder>
  </b:Source>
  <b:Source>
    <b:Tag>Mor192</b:Tag>
    <b:SourceType>JournalArticle</b:SourceType>
    <b:Guid>{63B4CC11-94CA-4C1F-B8B4-5BA06B0666DD}</b:Guid>
    <b:Title>Estimulación temprana y su incidencia en el proceso de aprendizaje en los niños de educación inicial en la Unidad Educativa “María Auxiliadora cantón Babahoyo”</b:Title>
    <b:JournalName>Universidad Técnica de Babahoyo. Trabajo de Titulación. http://dspace.utb.edu.ec/handle/49000/6931</b:JournalName>
    <b:Year>2019</b:Year>
    <b:Pages>pp.27</b:Pages>
    <b:Author>
      <b:Author>
        <b:NameList>
          <b:Person>
            <b:Last>Moreira</b:Last>
            <b:First>M</b:First>
          </b:Person>
        </b:NameList>
      </b:Author>
    </b:Author>
    <b:RefOrder>1010</b:RefOrder>
  </b:Source>
  <b:Source>
    <b:Tag>Att18</b:Tag>
    <b:SourceType>JournalArticle</b:SourceType>
    <b:Guid>{D4D7A3C3-BF18-4E3D-B437-0C6982A10874}</b:Guid>
    <b:Title>Estimulación temprana y nutrición: Los impactos de una intervención escalable</b:Title>
    <b:JournalName>National Bureau of Economic Research, Inc. No 25059. https://econpapers.repec.org/paper/nbrnberwo/25059.htm</b:JournalName>
    <b:Year>2018</b:Year>
    <b:Author>
      <b:Author>
        <b:NameList>
          <b:Person>
            <b:Last>Attanasio</b:Last>
            <b:First>0</b:First>
          </b:Person>
          <b:Person>
            <b:Last>Baker-Henningham</b:Last>
            <b:First>H</b:First>
          </b:Person>
          <b:Person>
            <b:Last>Bernal</b:Last>
            <b:First>R</b:First>
          </b:Person>
          <b:Person>
            <b:Last>Meghir</b:Last>
            <b:First>C</b:First>
          </b:Person>
          <b:Person>
            <b:Last>Pineda</b:Last>
            <b:First>D</b:First>
          </b:Person>
          <b:Person>
            <b:Last>Rubio-Codina</b:Last>
            <b:First>M</b:First>
          </b:Person>
        </b:NameList>
      </b:Author>
    </b:Author>
    <b:RefOrder>1011</b:RefOrder>
  </b:Source>
  <b:Source>
    <b:Tag>Ran15</b:Tag>
    <b:SourceType>JournalArticle</b:SourceType>
    <b:Guid>{622CE4FB-FA30-48AF-81E8-38BFF6939AEE}</b:Guid>
    <b:Author>
      <b:Author>
        <b:NameList>
          <b:Person>
            <b:Last>Rangel</b:Last>
            <b:First>Adriana</b:First>
          </b:Person>
        </b:NameList>
      </b:Author>
    </b:Author>
    <b:Title>Competencias docentes digitales: propuesta de un perfil.</b:Title>
    <b:JournalName>Revista de Medios y Educación</b:JournalName>
    <b:Year>2015</b:Year>
    <b:Pages>235-248</b:Pages>
    <b:RefOrder>1012</b:RefOrder>
  </b:Source>
  <b:Source>
    <b:Tag>MarcadorDePosición74</b:Tag>
    <b:SourceType>JournalArticle</b:SourceType>
    <b:Guid>{6C35F175-7920-483A-9758-DDC28693834D}</b:Guid>
    <b:Author>
      <b:Author>
        <b:NameList>
          <b:Person>
            <b:Last>Quispe</b:Last>
            <b:First>Marleni</b:First>
          </b:Person>
        </b:NameList>
      </b:Author>
    </b:Author>
    <b:Title>La gestión pedagógica en la mejora del desempeño docente</b:Title>
    <b:JournalName>Investigación Valdizana</b:JournalName>
    <b:Year>2020</b:Year>
    <b:Pages>7-14</b:Pages>
    <b:DOI>https://doi.org/10.33554/riv.14.1.601</b:DOI>
    <b:RefOrder>1013</b:RefOrder>
  </b:Source>
  <b:Source>
    <b:Tag>Var19</b:Tag>
    <b:SourceType>JournalArticle</b:SourceType>
    <b:Guid>{4D3926BA-32CD-41F7-B7E4-755E1E31F230}</b:Guid>
    <b:Author>
      <b:Author>
        <b:NameList>
          <b:Person>
            <b:Last>Vargas</b:Last>
            <b:First>G</b:First>
          </b:Person>
        </b:NameList>
      </b:Author>
    </b:Author>
    <b:Title>Competencias digitales y su integración con herramientas tecnológicas en educación superior</b:Title>
    <b:JournalName>Cuadernos Hospital de Clínicas</b:JournalName>
    <b:Year>2019</b:Year>
    <b:Pages>88-94</b:Pages>
    <b:RefOrder>1014</b:RefOrder>
  </b:Source>
  <b:Source>
    <b:Tag>Alo21</b:Tag>
    <b:SourceType>JournalArticle</b:SourceType>
    <b:Guid>{5432517D-ECB1-48F6-BB06-2F4A10F39B4D}</b:Guid>
    <b:Author>
      <b:Author>
        <b:NameList>
          <b:Person>
            <b:Last>Rodríguez</b:Last>
            <b:First>Alodis</b:First>
          </b:Person>
          <b:Person>
            <b:Last>Cabell</b:Last>
            <b:First>Noemí</b:First>
          </b:Person>
        </b:NameList>
      </b:Author>
    </b:Author>
    <b:Title>Importancia de la competencia digital docente en el confinamiento social</b:Title>
    <b:JournalName>Polo del conocimiento</b:JournalName>
    <b:Year>2021</b:Year>
    <b:Pages>1091-1109</b:Pages>
    <b:RefOrder>1015</b:RefOrder>
  </b:Source>
  <b:Source>
    <b:Tag>Ron17</b:Tag>
    <b:SourceType>JournalArticle</b:SourceType>
    <b:Guid>{4F485B13-5CFA-4349-A0D4-8F10C86796C0}</b:Guid>
    <b:Author>
      <b:Author>
        <b:NameList>
          <b:Person>
            <b:Last>Hernández</b:Last>
            <b:First>Ronald</b:First>
          </b:Person>
        </b:NameList>
      </b:Author>
    </b:Author>
    <b:Title>Impacto de las TIC en la educación: Retos y Perspectivas</b:Title>
    <b:JournalName>Propósitos y Representaciones</b:JournalName>
    <b:Year>2017</b:Year>
    <b:Pages>325 - 347</b:Pages>
    <b:DOI>http://dx.doi.org/10.20511/pyr2017.v5n1.149</b:DOI>
    <b:RefOrder>1016</b:RefOrder>
  </b:Source>
  <b:Source>
    <b:Tag>Her21</b:Tag>
    <b:SourceType>JournalArticle</b:SourceType>
    <b:Guid>{66B4DA2A-C87C-451D-A600-2F77FA47D8E6}</b:Guid>
    <b:Author>
      <b:Author>
        <b:NameList>
          <b:Person>
            <b:Last>Hernández</b:Last>
            <b:First>Yeimy</b:First>
          </b:Person>
          <b:Person>
            <b:Last>Camacho</b:Last>
            <b:First>Patricia</b:First>
          </b:Person>
        </b:NameList>
      </b:Author>
    </b:Author>
    <b:Title>Educación y Tecnologías; Herramientas Situadas en el Contexto Social</b:Title>
    <b:JournalName>RedCA</b:JournalName>
    <b:Year>2021</b:Year>
    <b:Pages>202-210</b:Pages>
    <b:DOI>https://doi.org/10.36677/redca.v4i10.15918</b:DOI>
    <b:RefOrder>1017</b:RefOrder>
  </b:Source>
  <b:Source>
    <b:Tag>Mur09</b:Tag>
    <b:SourceType>Book</b:SourceType>
    <b:Guid>{40CE4E9D-61A8-4E42-8B92-4955C8E40EFE}</b:Guid>
    <b:Author>
      <b:Author>
        <b:NameList>
          <b:Person>
            <b:Last>Murray</b:Last>
            <b:First>Spiegel</b:First>
          </b:Person>
          <b:Person>
            <b:Last>Larry</b:Last>
            <b:First>Stephens</b:First>
          </b:Person>
        </b:NameList>
      </b:Author>
    </b:Author>
    <b:Title>Estadística</b:Title>
    <b:Year>2009</b:Year>
    <b:City>México</b:City>
    <b:Publisher> McGraw-Hill/Interamericana</b:Publisher>
    <b:RefOrder>1018</b:RefOrder>
  </b:Source>
  <b:Source>
    <b:Tag>Ort22</b:Tag>
    <b:SourceType>JournalArticle</b:SourceType>
    <b:Guid>{ACD8B899-6BA1-4631-9620-4DC968737C51}</b:Guid>
    <b:Author>
      <b:Author>
        <b:NameList>
          <b:Person>
            <b:Last>Ortega</b:Last>
            <b:First>Judith</b:First>
          </b:Person>
          <b:Person>
            <b:Last>Oyanedel</b:Last>
            <b:First>Carmen</b:First>
          </b:Person>
        </b:NameList>
      </b:Author>
    </b:Author>
    <b:Title>Docentes y las tecnologías de la información y la comunicación: el nuevo rol en tiempos de pandemia por COVID-19</b:Title>
    <b:JournalName>Revista Educación</b:JournalName>
    <b:Year>2022</b:Year>
    <b:Pages>497-512</b:Pages>
    <b:DOI>http://dx.doi.org/10.15517/revedu.v46i1.47614 </b:DOI>
    <b:RefOrder>1019</b:RefOrder>
  </b:Source>
  <b:Source>
    <b:Tag>Sal21</b:Tag>
    <b:SourceType>JournalArticle</b:SourceType>
    <b:Guid>{40A6D6C5-F691-44DF-AC0F-F61BEBB12D2F}</b:Guid>
    <b:Author>
      <b:Author>
        <b:NameList>
          <b:Person>
            <b:Last>Salazar</b:Last>
            <b:First>Gilberto</b:First>
            <b:Middle>Mejía</b:Middle>
          </b:Person>
        </b:NameList>
      </b:Author>
    </b:Author>
    <b:Title>La aplicación de las TIC en los procesos de enseñanza-aprendizaje en estudiantes de nivel medio superior en Tepic, Nayarit</b:Title>
    <b:JournalName>Revista Iberoamericana para la Investigación y el Desarrollo Educativo</b:JournalName>
    <b:Year>2021</b:Year>
    <b:DOI>https://doi.org/10.23913/ride.v11i21.694</b:DOI>
    <b:RefOrder>1020</b:RefOrder>
  </b:Source>
  <b:Source>
    <b:Tag>Gab18</b:Tag>
    <b:SourceType>JournalArticle</b:SourceType>
    <b:Guid>{86B4C2B8-109C-4ED2-820D-DE948DB27B26}</b:Guid>
    <b:Author>
      <b:Author>
        <b:NameList>
          <b:Person>
            <b:Last>Serrano</b:Last>
            <b:First>Gabriela</b:First>
          </b:Person>
        </b:NameList>
      </b:Author>
    </b:Author>
    <b:Title>Análisis de las competencias digitales de los docentes según factores personales, contextuales y sus percepciones hacia las tic en la educación, en la Unidad Educativa Calasanz de la ciudad de Loja</b:Title>
    <b:JournalName>Universidad Casa Grande</b:JournalName>
    <b:Year>2018</b:Year>
    <b:RefOrder>1021</b:RefOrder>
  </b:Source>
  <b:Source>
    <b:Tag>Min</b:Tag>
    <b:SourceType>InternetSite</b:SourceType>
    <b:Guid>{D34D72D2-177B-4FCF-B735-683174848950}</b:Guid>
    <b:Title>Ministerio de Educacion</b:Title>
    <b:URL>https://educacion.gob.ec/dimension-de-gestion-pedagogica/</b:URL>
    <b:Year>2019</b:Year>
    <b:RefOrder>1022</b:RefOrder>
  </b:Source>
  <b:Source>
    <b:Tag>Ana16</b:Tag>
    <b:SourceType>JournalArticle</b:SourceType>
    <b:Guid>{4080FC29-287D-432C-B4DF-13D62D6047EE}</b:Guid>
    <b:Author>
      <b:Author>
        <b:NameList>
          <b:Person>
            <b:Last>Viñals</b:Last>
            <b:First>Ana</b:First>
          </b:Person>
          <b:Person>
            <b:Last>Cuenca</b:Last>
            <b:First>Jaime</b:First>
          </b:Person>
        </b:NameList>
      </b:Author>
    </b:Author>
    <b:Title>El rol del docente en la era digital</b:Title>
    <b:JournalName>Revista Interuniversitaria de Formación del Profesorado</b:JournalName>
    <b:Year>2016</b:Year>
    <b:Pages>103-114</b:Pages>
    <b:RefOrder>1023</b:RefOrder>
  </b:Source>
  <b:Source>
    <b:Tag>Die20</b:Tag>
    <b:SourceType>JournalArticle</b:SourceType>
    <b:Guid>{7E7D69C5-9B9F-40B8-A8DC-E7EC88FE22B2}</b:Guid>
    <b:Author>
      <b:Author>
        <b:NameList>
          <b:Person>
            <b:Last>Cueva</b:Last>
            <b:First>Diego</b:First>
          </b:Person>
        </b:NameList>
      </b:Author>
    </b:Author>
    <b:Title>La tecnología educativa en tiempos de crisis</b:Title>
    <b:JournalName>Conrado </b:JournalName>
    <b:Year>2020</b:Year>
    <b:Pages>341-348</b:Pages>
    <b:RefOrder>1024</b:RefOrder>
  </b:Source>
  <b:Source>
    <b:Tag>Ind21</b:Tag>
    <b:SourceType>JournalArticle</b:SourceType>
    <b:Guid>{EE66138E-7882-4E39-828F-B4FBC39120DD}</b:Guid>
    <b:Author>
      <b:Author>
        <b:NameList>
          <b:Person>
            <b:Last>Gómez</b:Last>
            <b:First>Indira</b:First>
          </b:Person>
          <b:Person>
            <b:Last>Escobar</b:Last>
            <b:First>Fortunato</b:First>
          </b:Person>
        </b:NameList>
      </b:Author>
    </b:Author>
    <b:Title>Educación virtual en tiempos de pandemia: incremento de la desigualdad social en el Perú</b:Title>
    <b:JournalName>Universidad Nacional del Altiplano de Puno</b:JournalName>
    <b:Year>2021</b:Year>
    <b:RefOrder>1025</b:RefOrder>
  </b:Source>
  <b:Source>
    <b:Tag>Kle21</b:Tag>
    <b:SourceType>JournalArticle</b:SourceType>
    <b:Guid>{1214B2F5-8633-4D6B-90BC-B0B335CC98F7}</b:Guid>
    <b:Author>
      <b:Author>
        <b:NameList>
          <b:Person>
            <b:Last>Zapata</b:Last>
            <b:First>Kleber</b:First>
          </b:Person>
          <b:Person>
            <b:Last>Lara</b:Last>
            <b:First>Hypatia</b:First>
          </b:Person>
          <b:Person>
            <b:Last>Coronel</b:Last>
            <b:First>Camilo</b:First>
          </b:Person>
          <b:Person>
            <b:Last>Castillo</b:Last>
            <b:First>Ricardo</b:First>
          </b:Person>
        </b:NameList>
      </b:Author>
    </b:Author>
    <b:Title>Uso de tecnologías educativas en la didáctica con estudiantes de educación básica</b:Title>
    <b:JournalName>Polo del conocimiento</b:JournalName>
    <b:Year>2021</b:Year>
    <b:Pages>342-359</b:Pages>
    <b:RefOrder>1026</b:RefOrder>
  </b:Source>
  <b:Source>
    <b:Tag>Fal17</b:Tag>
    <b:SourceType>JournalArticle</b:SourceType>
    <b:Guid>{E10F67A9-9CA1-483E-B753-4EDF9805615A}</b:Guid>
    <b:Author>
      <b:Author>
        <b:NameList>
          <b:Person>
            <b:Last>Falcó</b:Last>
            <b:First>Jose</b:First>
          </b:Person>
        </b:NameList>
      </b:Author>
    </b:Author>
    <b:Title>Evaluación de la competencia digital docente en la Comunidad Autónoma de Aragón</b:Title>
    <b:JournalName>Revista electrónica de investigación educativa</b:JournalName>
    <b:Year>2017</b:Year>
    <b:Pages>73-83</b:Pages>
    <b:DOI>https://doi.org/10.24320/redie.2017.19.4.1359</b:DOI>
    <b:RefOrder>1027</b:RefOrder>
  </b:Source>
  <b:Source>
    <b:Tag>Kar21</b:Tag>
    <b:SourceType>JournalArticle</b:SourceType>
    <b:Guid>{2E3A41FA-BA02-483C-993C-C68081CDF453}</b:Guid>
    <b:Author>
      <b:Author>
        <b:NameList>
          <b:Person>
            <b:Last>García</b:Last>
            <b:First>Karen</b:First>
          </b:Person>
          <b:Person>
            <b:Last>Ortiz</b:Last>
            <b:First>Tania</b:First>
          </b:Person>
          <b:Person>
            <b:Last>Chávez</b:Last>
            <b:First>María</b:First>
          </b:Person>
        </b:NameList>
      </b:Author>
    </b:Author>
    <b:Title>Relevancia y dominio de las competencias digitales del docente en la educación superior</b:Title>
    <b:JournalName>Revista Cubana de Educación Superior</b:JournalName>
    <b:Year>2021</b:Year>
    <b:RefOrder>1028</b:RefOrder>
  </b:Source>
  <b:Source>
    <b:Tag>Bea17</b:Tag>
    <b:SourceType>JournalArticle</b:SourceType>
    <b:Guid>{25835516-EFD4-4904-ADF2-482716B20CA7}</b:Guid>
    <b:Author>
      <b:Author>
        <b:NameList>
          <b:Person>
            <b:Last>Zempoalteca</b:Last>
            <b:First>Beatriz</b:First>
          </b:Person>
          <b:Person>
            <b:Last>Barragán</b:Last>
            <b:First>Jorge</b:First>
          </b:Person>
          <b:Person>
            <b:Last>González</b:Last>
            <b:First>Juan</b:First>
          </b:Person>
          <b:Person>
            <b:Last>Guzmán</b:Last>
            <b:First>Teresa</b:First>
          </b:Person>
        </b:NameList>
      </b:Author>
    </b:Author>
    <b:Title>Formación en TIC y competencia digital en la docencia en instituciones públicas de educación superior</b:Title>
    <b:JournalName>Apertura (Guadalajara)</b:JournalName>
    <b:Year>2017</b:Year>
    <b:Pages>80-96</b:Pages>
    <b:DOI>https://doi.org/10.32870/ap.v9n1.922 </b:DOI>
    <b:RefOrder>1029</b:RefOrder>
  </b:Source>
  <b:Source>
    <b:Tag>Fre21</b:Tag>
    <b:SourceType>JournalArticle</b:SourceType>
    <b:Guid>{04A994FA-6FEF-47D7-A75A-10F361F3240D}</b:Guid>
    <b:Author>
      <b:Author>
        <b:NameList>
          <b:Person>
            <b:Last>Morales</b:Last>
            <b:First>Freddy</b:First>
          </b:Person>
          <b:Person>
            <b:Last>Pazmiño</b:Last>
            <b:First>Marcos</b:First>
          </b:Person>
          <b:Person>
            <b:Last>Andrés</b:Last>
            <b:First>Esthela</b:First>
          </b:Person>
        </b:NameList>
      </b:Author>
    </b:Author>
    <b:Title>Competencias digitales de los docentes en la educación media del Ecuador</b:Title>
    <b:JournalName>Polo del conocimiento</b:JournalName>
    <b:Year>2021</b:Year>
    <b:Pages>185-203</b:Pages>
    <b:DOI>10.23857/pc.v6i2.2246</b:DOI>
    <b:RefOrder>1030</b:RefOrder>
  </b:Source>
  <b:Source>
    <b:Tag>Ana20</b:Tag>
    <b:SourceType>JournalArticle</b:SourceType>
    <b:Guid>{39888825-0826-477E-BD0C-778405B2BCEF}</b:Guid>
    <b:Author>
      <b:Author>
        <b:NameList>
          <b:Person>
            <b:Last>Martín</b:Last>
            <b:First>Ana</b:First>
          </b:Person>
          <b:Person>
            <b:Last>Pérez</b:Last>
            <b:First>Lourdes</b:First>
          </b:Person>
          <b:Person>
            <b:Last>Torre</b:Last>
            <b:First>María</b:First>
          </b:Person>
        </b:NameList>
      </b:Author>
    </b:Author>
    <b:Title>Las competencias digitales docentes en entornos universitarios basados en el Digcomp</b:Title>
    <b:JournalName>Educar em Revista</b:JournalName>
    <b:Year>2020</b:Year>
    <b:Pages>1-21</b:Pages>
    <b:DOI>http://dx.doi.org/10.1590/0104-4060.75866</b:DOI>
    <b:RefOrder>1031</b:RefOrder>
  </b:Source>
  <b:Source>
    <b:Tag>Fer20</b:Tag>
    <b:SourceType>JournalArticle</b:SourceType>
    <b:Guid>{7AF3CA15-D74F-4C5B-BEC9-B8345017BC02}</b:Guid>
    <b:Title>Uso de las Tecnologías de Información y Comunicación en el aula: una aplicación del Teorema de Bayes</b:Title>
    <b:Year>2020</b:Year>
    <b:Author>
      <b:Author>
        <b:NameList>
          <b:Person>
            <b:Last>Zambrano</b:Last>
            <b:First>Fernando</b:First>
          </b:Person>
          <b:Person>
            <b:Last>Martínez</b:Last>
            <b:First>Robin</b:First>
          </b:Person>
          <b:Person>
            <b:Last>Sánchez</b:Last>
            <b:First>María</b:First>
          </b:Person>
          <b:Person>
            <b:Last>Zambrano</b:Last>
            <b:First>José</b:First>
          </b:Person>
        </b:NameList>
      </b:Author>
    </b:Author>
    <b:JournalName>INNOVA Research Journal</b:JournalName>
    <b:Pages>152-163</b:Pages>
    <b:DOI>https://doi.org/10.33890/innova.v5.n3.2020.1469</b:DOI>
    <b:RefOrder>1032</b:RefOrder>
  </b:Source>
  <b:Source>
    <b:Tag>Ana18</b:Tag>
    <b:SourceType>JournalArticle</b:SourceType>
    <b:Guid>{9828B7A6-1635-4FA4-AE70-8BFD613D87E3}</b:Guid>
    <b:Author>
      <b:Author>
        <b:NameList>
          <b:Person>
            <b:Last>Chiecher</b:Last>
            <b:First>Analía</b:First>
          </b:Person>
          <b:Person>
            <b:Last>Melgar</b:Last>
            <b:First>María</b:First>
          </b:Person>
        </b:NameList>
      </b:Author>
    </b:Author>
    <b:Title>¿Lo saben todo? Innovaciones educativas orientadas a promover competencias digitales en universitarios</b:Title>
    <b:JournalName>Apertura</b:JournalName>
    <b:Year>2018</b:Year>
    <b:Pages>110-123</b:Pages>
    <b:DOI>https://doi.org/10.32870/ap.v10n2.1374</b:DOI>
    <b:RefOrder>1033</b:RefOrder>
  </b:Source>
  <b:Source>
    <b:Tag>MarcadorDePosición75</b:Tag>
    <b:SourceType>JournalArticle</b:SourceType>
    <b:Guid>{BDC0EC46-95B1-437F-BFDC-5116792E8DF7}</b:Guid>
    <b:Title>La Gestión pedagógica. Apuntes para un estudio necesario</b:Title>
    <b:Year>2017</b:Year>
    <b:Author>
      <b:Author>
        <b:NameList>
          <b:Person>
            <b:Last>López</b:Last>
            <b:First>Maria</b:First>
          </b:Person>
        </b:NameList>
      </b:Author>
    </b:Author>
    <b:JournalName>Ciencias de la educación</b:JournalName>
    <b:Pages>201-215</b:Pages>
    <b:RefOrder>1034</b:RefOrder>
  </b:Source>
  <b:Source>
    <b:Tag>Jan21</b:Tag>
    <b:SourceType>JournalArticle</b:SourceType>
    <b:Guid>{AD4291C2-4EC1-4C1A-A897-49C096B38925}</b:Guid>
    <b:Author>
      <b:Author>
        <b:NameList>
          <b:Person>
            <b:Last>Díaz</b:Last>
            <b:First>Janeth</b:First>
          </b:Person>
          <b:Person>
            <b:Last>Ruiz</b:Last>
            <b:First>Alicia</b:First>
          </b:Person>
          <b:Person>
            <b:Last>Egüez</b:Last>
            <b:First>Carolina</b:First>
          </b:Person>
        </b:NameList>
      </b:Author>
    </b:Author>
    <b:Title>Impacto de las TIC: desafíos y oportunidades de la Educación Superior frente al COVID-19</b:Title>
    <b:JournalName>Uisrael</b:JournalName>
    <b:Year>2021</b:Year>
    <b:Pages>113-132</b:Pages>
    <b:DOI>https://doi.org/10.35290/rcui.v8n2.2021.448</b:DOI>
    <b:RefOrder>1035</b:RefOrder>
  </b:Source>
  <b:Source>
    <b:Tag>Ike21</b:Tag>
    <b:SourceType>JournalArticle</b:SourceType>
    <b:Guid>{94A77218-DBEB-4AFF-AFF4-A77C08FB3FA3}</b:Guid>
    <b:Author>
      <b:Author>
        <b:NameList>
          <b:Person>
            <b:Last>Arroyo</b:Last>
            <b:First>Iker</b:First>
          </b:Person>
          <b:Person>
            <b:Last>Vázquez</b:Last>
            <b:First>Esteban</b:First>
          </b:Person>
          <b:Person>
            <b:Last>Bernal</b:Last>
            <b:First>César</b:First>
          </b:Person>
          <b:Person>
            <b:Last>Burgos</b:Last>
            <b:First>Carmen</b:First>
          </b:Person>
        </b:NameList>
      </b:Author>
    </b:Author>
    <b:Title>Herramientas educativas digitales emergentes en tiempos de pandemia</b:Title>
    <b:JournalName>Revista Educativa HEKADEMOS</b:JournalName>
    <b:Year>2021</b:Year>
    <b:Pages>25-40</b:Pages>
    <b:RefOrder>1036</b:RefOrder>
  </b:Source>
  <b:Source>
    <b:Tag>MarcadorDePosición76</b:Tag>
    <b:SourceType>JournalArticle</b:SourceType>
    <b:Guid>{0BFA9FE1-6D57-4A4A-9FC2-81FBFCC2DDBC}</b:Guid>
    <b:Author>
      <b:Author>
        <b:NameList>
          <b:Person>
            <b:Last>Alcívar</b:Last>
            <b:First>Carlos</b:First>
          </b:Person>
          <b:Person>
            <b:Last>Vargas</b:Last>
            <b:First>Vanessa</b:First>
          </b:Person>
          <b:Person>
            <b:Last>Calderón</b:Last>
            <b:First>Juan</b:First>
          </b:Person>
          <b:Person>
            <b:Last>Triviño</b:Last>
            <b:First>Carlos</b:First>
          </b:Person>
          <b:Person>
            <b:Last>Santillan</b:Last>
            <b:First>Sara</b:First>
          </b:Person>
          <b:Person>
            <b:Last>Soria</b:Last>
            <b:First>Roberto</b:First>
          </b:Person>
          <b:Person>
            <b:Last>Cardenas</b:Last>
            <b:First>Laura</b:First>
          </b:Person>
        </b:NameList>
      </b:Author>
    </b:Author>
    <b:Title>El uso de las TIC en el proceso de enseñanza- aprendizaje de los docentes en las Universidades del Ecuador</b:Title>
    <b:JournalName>Espacios</b:JournalName>
    <b:Year>2019</b:Year>
    <b:Pages>27-35</b:Pages>
    <b:RefOrder>1037</b:RefOrder>
  </b:Source>
  <b:Source>
    <b:Tag>Cla17</b:Tag>
    <b:SourceType>JournalArticle</b:SourceType>
    <b:Guid>{33D74DC8-1972-4CFC-81F0-196E7C4B836E}</b:Guid>
    <b:Author>
      <b:Author>
        <b:NameList>
          <b:Person>
            <b:Last>Islas</b:Last>
            <b:First>Claudia</b:First>
          </b:Person>
        </b:NameList>
      </b:Author>
    </b:Author>
    <b:Title>La implicación de las TIC en la educación: Alcances, Limitaciones y Prospectiva</b:Title>
    <b:JournalName>Iberoamericana para la Investigación y el Desarrollo Educativo</b:JournalName>
    <b:Year>2017</b:Year>
    <b:Pages>891-876</b:Pages>
    <b:DOI>https://doi.org/10.23913/ride.v8i15.324 </b:DOI>
    <b:RefOrder>1038</b:RefOrder>
  </b:Source>
  <b:Source>
    <b:Tag>Lom11</b:Tag>
    <b:SourceType>JournalArticle</b:SourceType>
    <b:Guid>{3643C89B-03B8-448A-B39A-2536528F40EF}</b:Guid>
    <b:Author>
      <b:Author>
        <b:NameList>
          <b:Person>
            <b:Last>Rivero</b:Last>
            <b:First>Lombillo</b:First>
          </b:Person>
          <b:Person>
            <b:Last>Alfonso</b:Last>
            <b:First>Valera</b:First>
          </b:Person>
          <b:Person>
            <b:Last>Lohuiz</b:Last>
            <b:First>Rodríguez</b:First>
          </b:Person>
        </b:NameList>
      </b:Author>
    </b:Author>
    <b:Title>Estrategia metodológica para la integración de las TIC como medio de enseñanza en la didáctica universitaria</b:Title>
    <b:JournalName>Universidad Agraria de La Habana</b:JournalName>
    <b:Year>2011</b:Year>
    <b:RefOrder>1039</b:RefOrder>
  </b:Source>
  <b:Source>
    <b:Tag>MarcadorDePosición77</b:Tag>
    <b:SourceType>JournalArticle</b:SourceType>
    <b:Guid>{169B0B34-D86A-44F2-883A-49A468BDFE01}</b:Guid>
    <b:Author>
      <b:Author>
        <b:NameList>
          <b:Person>
            <b:Last>Haro</b:Last>
            <b:First>Ricardo</b:First>
          </b:Person>
          <b:Person>
            <b:Last>Yépez</b:Last>
            <b:First>Gissela</b:First>
          </b:Person>
        </b:NameList>
      </b:Author>
    </b:Author>
    <b:Title>El uso de de office 365 en el proceso de enseñanza del idioma inglés. propuesta de manual</b:Title>
    <b:JournalName>Revista Universidad y Sociedad</b:JournalName>
    <b:Year>2020</b:Year>
    <b:Pages>525-530</b:Pages>
    <b:RefOrder>1040</b:RefOrder>
  </b:Source>
  <b:Source>
    <b:Tag>MarcadorDePosición78</b:Tag>
    <b:SourceType>JournalArticle</b:SourceType>
    <b:Guid>{21A4C28D-1656-44F4-8A87-FAF6CD616AC2}</b:Guid>
    <b:Author>
      <b:Author>
        <b:NameList>
          <b:Person>
            <b:Last>Flores</b:Last>
            <b:First>Maira</b:First>
          </b:Person>
          <b:Person>
            <b:Last>Navarrete</b:Last>
            <b:First>Carlos</b:First>
          </b:Person>
        </b:NameList>
      </b:Author>
    </b:Author>
    <b:Title>Diagnóstico de necesidades de capacitación en el uso de plataformas virtuales ante la contingencia del COVID-19 en los estudiantes y docentes de Educación Media Superior Tecnológica</b:Title>
    <b:JournalName>Dilemas contemporáneos: educación, política y valores</b:JournalName>
    <b:Year>2021</b:Year>
    <b:Pages>1-20</b:Pages>
    <b:DOI>https://doi.org/10.46377/dilemas.v8i.2494 </b:DOI>
    <b:RefOrder>1041</b:RefOrder>
  </b:Source>
  <b:Source>
    <b:Tag>Aqu21</b:Tag>
    <b:SourceType>JournalArticle</b:SourceType>
    <b:Guid>{09508CA3-F8DC-438E-9647-1D817411C038}</b:Guid>
    <b:Author>
      <b:Author>
        <b:NameList>
          <b:Person>
            <b:Last>Aquino</b:Last>
            <b:First>Jury</b:First>
          </b:Person>
          <b:Person>
            <b:Last>Panta</b:Last>
            <b:First>Karina</b:First>
          </b:Person>
          <b:Person>
            <b:Last>Sosa</b:Last>
            <b:First>Jesús</b:First>
          </b:Person>
        </b:NameList>
      </b:Author>
    </b:Author>
    <b:Title>Uso de las Tic para la Formación de Competencias en la Educación Superior en Tiempos de Pandemia Covid-19</b:Title>
    <b:JournalName>Polo del conocimiento</b:JournalName>
    <b:Year>2021</b:Year>
    <b:Pages>280-297</b:Pages>
    <b:DOI>10.23857/pc.v6i10.3201</b:DOI>
    <b:RefOrder>1042</b:RefOrder>
  </b:Source>
  <b:Source>
    <b:Tag>San11</b:Tag>
    <b:SourceType>Book</b:SourceType>
    <b:Guid>{FFC8431A-3627-49FA-A954-B835DEDEA55B}</b:Guid>
    <b:Author>
      <b:Author>
        <b:NameList>
          <b:Person>
            <b:Last>Sanchez Zapata</b:Last>
            <b:First>Pedro.</b:First>
          </b:Person>
        </b:NameList>
      </b:Author>
    </b:Author>
    <b:Title>CONTABILIDAD GENERAL</b:Title>
    <b:Year>2015</b:Year>
    <b:City>COLOMBIA</b:City>
    <b:RefOrder>1043</b:RefOrder>
  </b:Source>
  <b:Source>
    <b:Tag>Gar08</b:Tag>
    <b:SourceType>Book</b:SourceType>
    <b:Guid>{74857419-4A59-4FD3-BD0C-3ABAC02271B1}</b:Guid>
    <b:Author>
      <b:Author>
        <b:NameList>
          <b:Person>
            <b:Last>Sanchez</b:Last>
            <b:First>Pedro</b:First>
            <b:Middle>Zapata</b:Middle>
          </b:Person>
        </b:NameList>
      </b:Author>
    </b:Author>
    <b:Title>contabilidad general </b:Title>
    <b:Year>2011</b:Year>
    <b:RefOrder>1044</b:RefOrder>
  </b:Source>
  <b:Source>
    <b:Tag>Dan15</b:Tag>
    <b:SourceType>DocumentFromInternetSite</b:SourceType>
    <b:Guid>{BB2139F1-CB94-41DA-9374-2503FC45DF90}</b:Guid>
    <b:Author>
      <b:Author>
        <b:NameList>
          <b:Person>
            <b:Last>Thompson</b:Last>
            <b:First>Baldiviezo</b:First>
            <b:Middle>Janeth Monica</b:Middle>
          </b:Person>
        </b:NameList>
      </b:Author>
    </b:Author>
    <b:Year>2008</b:Year>
    <b:Title>Objetivos de la contabilidad</b:Title>
    <b:InternetSiteTitle>Objetivos de la contabilidad</b:InternetSiteTitle>
    <b:Month>Enero</b:Month>
    <b:URL>https://www.promonegocios.net/contabilidad/objetivos-contabilidad.html</b:URL>
    <b:RefOrder>1045</b:RefOrder>
  </b:Source>
  <b:Source>
    <b:Tag>Bra11</b:Tag>
    <b:SourceType>Book</b:SourceType>
    <b:Guid>{2D568563-A0BE-4340-AF38-D80A53AB5760}</b:Guid>
    <b:Title>Contabilidad General</b:Title>
    <b:Year>2011</b:Year>
    <b:Author>
      <b:Author>
        <b:NameList>
          <b:Person>
            <b:Last>Bravo</b:Last>
            <b:First>Mercedez </b:First>
          </b:Person>
        </b:NameList>
      </b:Author>
    </b:Author>
    <b:RefOrder>1046</b:RefOrder>
  </b:Source>
  <b:Source xmlns:b="http://schemas.openxmlformats.org/officeDocument/2006/bibliography">
    <b:Tag>20119</b:Tag>
    <b:SourceType>DocumentFromInternetSite</b:SourceType>
    <b:Guid>{D7580157-3486-4438-8671-75321A050BC3}</b:Guid>
    <b:Author>
      <b:Author>
        <b:NameList>
          <b:Person>
            <b:Last>Raffino</b:Last>
            <b:First>María</b:First>
            <b:Middle>Estela</b:Middle>
          </b:Person>
        </b:NameList>
      </b:Author>
    </b:Author>
    <b:Title>ESTADOS FINANCIEROS</b:Title>
    <b:Year>2019</b:Year>
    <b:InternetSiteTitle>ESTADOS FINANCIEROS</b:InternetSiteTitle>
    <b:Month>06</b:Month>
    <b:Day>18</b:Day>
    <b:URL>https://concepto.de/estados-financieros/.</b:URL>
    <b:RefOrder>1047</b:RefOrder>
  </b:Source>
  <b:Source>
    <b:Tag>PAT07</b:Tag>
    <b:SourceType>Book</b:SourceType>
    <b:Guid>{AC821800-3308-4803-8706-78B195AD26CE}</b:Guid>
    <b:Title>Metodologias de Investigacion</b:Title>
    <b:Year>2007</b:Year>
    <b:City>Peru</b:City>
    <b:Publisher>YanquiPro</b:Publisher>
    <b:Author>
      <b:Author>
        <b:NameList>
          <b:Person>
            <b:Last>BERNAL</b:Last>
            <b:First>PATRICIA</b:First>
          </b:Person>
        </b:NameList>
      </b:Author>
    </b:Author>
    <b:RefOrder>1048</b:RefOrder>
  </b:Source>
  <b:Source>
    <b:Tag>Joh08</b:Tag>
    <b:SourceType>InternetSite</b:SourceType>
    <b:Guid>{24F4CAA5-51EA-438F-B595-F67D0F95CA3B}</b:Guid>
    <b:Year>2018</b:Year>
    <b:Author>
      <b:Author>
        <b:NameList>
          <b:Person>
            <b:Last>Mejias</b:Last>
            <b:First>Aron.</b:First>
          </b:Person>
        </b:NameList>
      </b:Author>
    </b:Author>
    <b:Title>quienes son los usuarios de los estados financieros </b:Title>
    <b:InternetSiteTitle>quienes son los usuarios de los estados financieros </b:InternetSiteTitle>
    <b:Month>06</b:Month>
    <b:RefOrder>1049</b:RefOrder>
  </b:Source>
  <b:Source>
    <b:Tag>Itu20</b:Tag>
    <b:SourceType>JournalArticle</b:SourceType>
    <b:Guid>{8176C2FE-6AB7-4275-9DB4-A9D4809577FF}</b:Guid>
    <b:Title>La Gestion del Talnto Humano como factor determinante del exito competitivo de las medianas empresas Machaleñas</b:Title>
    <b:JournalName>593 Digital Publisher</b:JournalName>
    <b:Year>2020</b:Year>
    <b:Pages>pp. 342-359</b:Pages>
    <b:Author>
      <b:Author>
        <b:NameList>
          <b:Person>
            <b:Last>Iturralde-Pulla</b:Last>
            <b:First>Karen</b:First>
          </b:Person>
          <b:Person>
            <b:Last>Paltan-Ajila</b:Last>
            <b:First>Jonathan</b:First>
          </b:Person>
          <b:Person>
            <b:Last>Ollague-Valarezo</b:Last>
            <b:First>Jose</b:First>
          </b:Person>
          <b:Person>
            <b:Last>Pacheco-Molina</b:Last>
            <b:First>Andres</b:First>
          </b:Person>
        </b:NameList>
      </b:Author>
    </b:Author>
    <b:Volume>5</b:Volume>
    <b:Issue>6-1</b:Issue>
    <b:DOI> https://doi.org/10.33386/593dp.2020.6-1.433</b:DOI>
    <b:RefOrder>1050</b:RefOrder>
  </b:Source>
  <b:Source>
    <b:Tag>Leg18</b:Tag>
    <b:SourceType>JournalArticle</b:SourceType>
    <b:Guid>{19C58765-78E0-4E59-9536-B2ED8112AD8E}</b:Guid>
    <b:Title>Case study: Supply Chain Scenarios in a Plastic Container Company</b:Title>
    <b:JournalName>Nova Scientia</b:JournalName>
    <b:Year>2018</b:Year>
    <b:Author>
      <b:Author>
        <b:NameList>
          <b:Person>
            <b:Last>Legarda</b:Last>
            <b:First>Ernesto</b:First>
            <b:Middle>Alonso</b:Middle>
          </b:Person>
          <b:Person>
            <b:Last>Bueno</b:Last>
            <b:First>Alfredo</b:First>
          </b:Person>
          <b:Person>
            <b:Last>Cedillo</b:Last>
            <b:First>Miguel</b:First>
            <b:Middle>Gaston</b:Middle>
          </b:Person>
          <b:Person>
            <b:Last>Velarde</b:Last>
            <b:First>José</b:First>
            <b:Middle>Manuel</b:Middle>
          </b:Person>
        </b:NameList>
      </b:Author>
    </b:Author>
    <b:Volume>10</b:Volume>
    <b:Issue>20</b:Issue>
    <b:URL>http://www.scielo.org.mx/scielo.php?script=sci_arttext&amp;pid=S2007-07052018000100510&amp;lang=es</b:URL>
    <b:Pages>510-538</b:Pages>
    <b:RefOrder>1051</b:RefOrder>
  </b:Source>
  <b:Source>
    <b:Tag>MarcadorDePosición79</b:Tag>
    <b:SourceType>JournalArticle</b:SourceType>
    <b:Guid>{ECFFCC85-71D7-418F-B65E-1288061A8EB7}</b:Guid>
    <b:Title>Inventory management model design in a strawberry crop, based on the model order for a single perios and six sigma metrics.</b:Title>
    <b:JournalName>Ingeniera y competitividad</b:JournalName>
    <b:Year>2018</b:Year>
    <b:Author>
      <b:Author>
        <b:NameList>
          <b:Person>
            <b:Last>Sanchez</b:Last>
            <b:First>Daniel</b:First>
            <b:Middle>Enrique</b:Middle>
          </b:Person>
          <b:Person>
            <b:Last>Ramirez</b:Last>
            <b:First>Natalia</b:First>
          </b:Person>
        </b:NameList>
      </b:Author>
    </b:Author>
    <b:Volume>20</b:Volume>
    <b:Issue>1</b:Issue>
    <b:URL>http://www.scielo.org.co/scielo.php?script=sci_arttext&amp;pid=S0123-30332018000100095&amp;lang=es</b:URL>
    <b:Pages>95-105</b:Pages>
    <b:RefOrder>1052</b:RefOrder>
  </b:Source>
  <b:Source>
    <b:Tag>MarcadorDePosición80</b:Tag>
    <b:SourceType>JournalArticle</b:SourceType>
    <b:Guid>{347F566D-92E4-44D7-AAF9-5009D2F7C501}</b:Guid>
    <b:Author>
      <b:Author>
        <b:NameList>
          <b:Person>
            <b:Last>Alvarez</b:Last>
            <b:First>Yanelys</b:First>
          </b:Person>
          <b:Person>
            <b:Last>Toledo</b:Last>
            <b:First>Marisela</b:First>
          </b:Person>
        </b:NameList>
      </b:Author>
    </b:Author>
    <b:Title>Procedimiento metodológico para la planificación de inventarios: una propuesta para la enseñanza de la asignatura Administración financiera a corto plazo.</b:Title>
    <b:JournalName>CONRADO Revista Pedagica de la Universidad de Cienfuegos</b:JournalName>
    <b:Year>2018</b:Year>
    <b:URL>http://scielo.sld.cu/pdf/rc/v14s1/1990-8644-rc-14-s1-201.pdf</b:URL>
    <b:Pages>pp. 201-210</b:Pages>
    <b:Volume>14</b:Volume>
    <b:Issue>65</b:Issue>
    <b:RefOrder>1053</b:RefOrder>
  </b:Source>
  <b:Source>
    <b:Tag>Bof17</b:Tag>
    <b:SourceType>JournalArticle</b:SourceType>
    <b:Guid>{F3C27BC7-9BA2-4D0A-A5E3-E7D4F46E7796}</b:Guid>
    <b:Title>Procedimiento para la gestion de inventario en el almacen central de una cadena comercial cubana</b:Title>
    <b:JournalName>Revista Universidad y Sociedad</b:JournalName>
    <b:Year>2017</b:Year>
    <b:Author>
      <b:Author>
        <b:NameList>
          <b:Person>
            <b:Last>Boffil</b:Last>
            <b:First>Arturo</b:First>
          </b:Person>
          <b:Person>
            <b:Last>Sablón</b:Last>
            <b:First>Neyfe</b:First>
          </b:Person>
          <b:Person>
            <b:Last>Florido</b:Last>
            <b:First>Rigoberto</b:First>
          </b:Person>
        </b:NameList>
      </b:Author>
    </b:Author>
    <b:Volume>9</b:Volume>
    <b:Issue>1</b:Issue>
    <b:URL>http://scielo.sld.cu/scielo.php?script=sci_arttext&amp;pid=S2218-36202017000100006&amp;lang=es</b:URL>
    <b:Pages>pp. 41-51</b:Pages>
    <b:RefOrder>1054</b:RefOrder>
  </b:Source>
  <b:Source>
    <b:Tag>MarcadorDePosición81</b:Tag>
    <b:SourceType>JournalArticle</b:SourceType>
    <b:Guid>{9916F08C-D4B3-43B7-A46D-39C25885B172}</b:Guid>
    <b:Title>El uso de software libre en el control de inventarios: Caso de estudio</b:Title>
    <b:JournalName>Ciencias Administrativas</b:JournalName>
    <b:Year>2019</b:Year>
    <b:Author>
      <b:Author>
        <b:NameList>
          <b:Person>
            <b:Last>Delgado-Soto</b:Last>
            <b:First>Sandra</b:First>
          </b:Person>
          <b:Person>
            <b:Last>Cruz-RIvero</b:Last>
            <b:First>Lidilia</b:First>
          </b:Person>
          <b:Person>
            <b:Last>Lince-Olguin</b:Last>
            <b:First>Ernesto</b:First>
          </b:Person>
        </b:NameList>
      </b:Author>
    </b:Author>
    <b:Volume>1</b:Volume>
    <b:URL>https://www.researchgate.net/publication/337843178_El_Uso_de_Software_libre_en_el_control_de_inventarios</b:URL>
    <b:Pages>pp. 126-132</b:Pages>
    <b:RefOrder>1055</b:RefOrder>
  </b:Source>
  <b:Source>
    <b:Tag>Gar15</b:Tag>
    <b:SourceType>JournalArticle</b:SourceType>
    <b:Guid>{617AAEE7-B7A7-4D64-BD60-82BCDEE7E40C}</b:Guid>
    <b:Title>Las restricciones al financiamiento de las PYMES del Ecuador y su incidencia en la politica de inversiones</b:Title>
    <b:JournalName>Actualidad Contable FACES</b:JournalName>
    <b:Year>2015</b:Year>
    <b:Pages>pp 49-73</b:Pages>
    <b:Author>
      <b:Author>
        <b:NameList>
          <b:Person>
            <b:Last>Garcia</b:Last>
            <b:Middle>H</b:Middle>
            <b:First>Galo</b:First>
          </b:Person>
          <b:Person>
            <b:Last>Villafuerte </b:Last>
            <b:Middle>F</b:Middle>
            <b:First>Marcelo</b:First>
          </b:Person>
        </b:NameList>
      </b:Author>
    </b:Author>
    <b:Volume>18</b:Volume>
    <b:Issue>30</b:Issue>
    <b:URL>https://www.redalyc.org/articulo.oa?id=25739666004</b:URL>
    <b:RefOrder>1056</b:RefOrder>
  </b:Source>
  <b:Source>
    <b:Tag>MarcadorDePosición82</b:Tag>
    <b:SourceType>JournalArticle</b:SourceType>
    <b:Guid>{588D9801-404B-4862-AC9E-C0B14C928687}</b:Guid>
    <b:Title>Factores determinantes del exito competitivo en las PYMES, caso estudio sector construccion</b:Title>
    <b:JournalName>593 Digital Publisher</b:JournalName>
    <b:Year>2020</b:Year>
    <b:Pages>pp 71-79</b:Pages>
    <b:Author>
      <b:Author>
        <b:NameList>
          <b:Person>
            <b:Last>Alvarez-Pico</b:Last>
            <b:Middle>Aracely</b:Middle>
            <b:First>Veronica</b:First>
          </b:Person>
          <b:Person>
            <b:Last>Zaldumbide-Peralvo</b:Last>
            <b:Middle>Alejandro</b:Middle>
            <b:First>David </b:First>
          </b:Person>
        </b:NameList>
      </b:Author>
    </b:Author>
    <b:Volume>5</b:Volume>
    <b:Issue>5-1</b:Issue>
    <b:URL>https://www.593dp.com/index.php/593_Digital_Publisher/article/view/322</b:URL>
    <b:RefOrder>1057</b:RefOrder>
  </b:Source>
  <b:Source>
    <b:Tag>Rod20</b:Tag>
    <b:SourceType>JournalArticle</b:SourceType>
    <b:Guid>{E2B63321-BF9D-4F8C-A590-49787BCA5F8F}</b:Guid>
    <b:Title>Las PYMES en Ecuador. Un analisis necesario</b:Title>
    <b:JournalName>593 Digital Publisher</b:JournalName>
    <b:Year>2020</b:Year>
    <b:Pages>pp 191-200</b:Pages>
    <b:Author>
      <b:Author>
        <b:NameList>
          <b:Person>
            <b:Last>Rodriguez-Mendoza</b:Last>
            <b:Middle>Libelly</b:Middle>
            <b:First>Raisa</b:First>
          </b:Person>
          <b:Person>
            <b:Last>Aviles-Sotomayor</b:Last>
            <b:Middle>Manuel</b:Middle>
            <b:First>Victor </b:First>
          </b:Person>
        </b:NameList>
      </b:Author>
    </b:Author>
    <b:Volume>5</b:Volume>
    <b:Issue>5-1</b:Issue>
    <b:URL>https://www.593dp.com/index.php/593_Digital_Publisher/article/view/337</b:URL>
    <b:RefOrder>1058</b:RefOrder>
  </b:Source>
  <b:Source>
    <b:Tag>Cha18</b:Tag>
    <b:SourceType>JournalArticle</b:SourceType>
    <b:Guid>{48A6AA1E-72D6-48AA-886C-2FC67911C6A7}</b:Guid>
    <b:Title>Las micro, pequeñas y medianas empresas. Clasificación para su estudio en la carrera de Ingeniería en Contabilidad y Auditoría de la Universidad Técnica de Machala</b:Title>
    <b:JournalName>Conrado</b:JournalName>
    <b:Year>2018</b:Year>
    <b:Pages>pp 247-255</b:Pages>
    <b:Author>
      <b:Author>
        <b:NameList>
          <b:Person>
            <b:Last>Chavez</b:Last>
            <b:First>Gonzalo</b:First>
          </b:Person>
          <b:Person>
            <b:Last>Campuzano </b:Last>
            <b:First>John</b:First>
          </b:Person>
          <b:Person>
            <b:Last>Betancourt</b:Last>
            <b:First>Victor</b:First>
          </b:Person>
        </b:NameList>
      </b:Author>
    </b:Author>
    <b:Volume>14</b:Volume>
    <b:URL>http://scielo.sld.cu/scielo.php?script=sci_arttext&amp;pid=S1990-86442018000500247</b:URL>
    <b:RefOrder>1059</b:RefOrder>
  </b:Source>
  <b:Source>
    <b:Tag>Gar151</b:Tag>
    <b:SourceType>JournalArticle</b:SourceType>
    <b:Guid>{EAB0B2DE-F023-4F13-A447-098827BA82BF}</b:Guid>
    <b:Title>Modelo Econometrico del sector de la construccion en Ecuador</b:Title>
    <b:JournalName>Revista Ciencia UNEMI</b:JournalName>
    <b:Year>2015</b:Year>
    <b:Pages>pp 37-47</b:Pages>
    <b:Author>
      <b:Author>
        <b:NameList>
          <b:Person>
            <b:Last>Garcia-Regalado</b:Last>
            <b:First>Jorge</b:First>
          </b:Person>
          <b:Person>
            <b:Last>Freire-Quintero</b:Last>
            <b:First>Cesar</b:First>
          </b:Person>
          <b:Person>
            <b:Last>Moscoso-Miranda</b:Last>
            <b:First>Henry</b:First>
          </b:Person>
        </b:NameList>
      </b:Author>
    </b:Author>
    <b:Volume>8</b:Volume>
    <b:Issue>14</b:Issue>
    <b:URL>https://www.redalyc.org/articulo.oa?id=582663828006</b:URL>
    <b:RefOrder>1060</b:RefOrder>
  </b:Source>
  <b:Source>
    <b:Tag>Cue19</b:Tag>
    <b:SourceType>JournalArticle</b:SourceType>
    <b:Guid>{47D10EE1-D314-49EB-B21C-95EDB25F338F}</b:Guid>
    <b:Title>Estrategias de gestion del efectivo y rentabilidad de las empresas ecuatorianas: caso sectores construccion y transporte</b:Title>
    <b:JournalName>593 Digital Publisher</b:JournalName>
    <b:Year>2019</b:Year>
    <b:Pages>39-48</b:Pages>
    <b:Author>
      <b:Author>
        <b:NameList>
          <b:Person>
            <b:Last>Cueva</b:Last>
            <b:First>Joysy</b:First>
          </b:Person>
          <b:Person>
            <b:Last>Rojas </b:Last>
            <b:First>Dolores</b:First>
          </b:Person>
        </b:NameList>
      </b:Author>
    </b:Author>
    <b:Volume>4</b:Volume>
    <b:Issue>5-1</b:Issue>
    <b:URL>https://www.593dp.com/index.php/593_Digital_Publisher/article/view/128</b:URL>
    <b:RefOrder>1061</b:RefOrder>
  </b:Source>
  <b:Source>
    <b:Tag>Yag181</b:Tag>
    <b:SourceType>JournalArticle</b:SourceType>
    <b:Guid>{AD754071-6C53-4286-A21A-9517037725BA}</b:Guid>
    <b:Title>La contribucion del sector de la construccion sobre el producto interno bruto PIB en Ecuador</b:Title>
    <b:JournalName>Revista LASALLISTA de investigacion</b:JournalName>
    <b:Year>2018</b:Year>
    <b:Pages>pp. 286-299</b:Pages>
    <b:Author>
      <b:Author>
        <b:NameList>
          <b:Person>
            <b:Last>Yagual</b:Last>
            <b:Middle>Marcel</b:Middle>
            <b:First>Alfredo </b:First>
          </b:Person>
          <b:Person>
            <b:Last>Lopez</b:Last>
            <b:Middle>Leonardo </b:Middle>
            <b:First>Melvin </b:First>
          </b:Person>
          <b:Person>
            <b:Last>Sanchez</b:Last>
            <b:First>Lizbeth</b:First>
          </b:Person>
          <b:Person>
            <b:Last>Narvaez</b:Last>
            <b:Middle>Gonzalo</b:Middle>
            <b:First>Jose </b:First>
          </b:Person>
        </b:NameList>
      </b:Author>
    </b:Author>
    <b:Volume>15</b:Volume>
    <b:Issue>2</b:Issue>
    <b:URL>https://www.redalyc.org/jatsRepo/695/69559233023/html/index.html</b:URL>
    <b:RefOrder>1062</b:RefOrder>
  </b:Source>
  <b:Source>
    <b:Tag>Zap16</b:Tag>
    <b:SourceType>JournalArticle</b:SourceType>
    <b:Guid>{E6861E62-46EC-4547-A42C-87DCD875B8AF}</b:Guid>
    <b:Title>Toma de decisiones y estilos de Liderazgo: Estudio en medianas empresas</b:Title>
    <b:Year>2016</b:Year>
    <b:Author>
      <b:Author>
        <b:NameList>
          <b:Person>
            <b:Last>Zapata</b:Last>
            <b:First>Gerardo</b:First>
            <b:Middle>J</b:Middle>
          </b:Person>
          <b:Person>
            <b:Last>Sigala</b:Last>
            <b:First>Luis</b:First>
          </b:Person>
          <b:Person>
            <b:Last>Mirabal</b:Last>
            <b:First>Alberto</b:First>
          </b:Person>
        </b:NameList>
      </b:Author>
    </b:Author>
    <b:JournalName>Compendium</b:JournalName>
    <b:Pages>35-59</b:Pages>
    <b:Volume>19</b:Volume>
    <b:Issue>35</b:Issue>
    <b:URL>https://www.redalyc.org/articulo.oa?id=88046587003</b:URL>
    <b:RefOrder>1063</b:RefOrder>
  </b:Source>
  <b:Source>
    <b:Tag>MarcadorDePosición83</b:Tag>
    <b:SourceType>JournalArticle</b:SourceType>
    <b:Guid>{974F73A0-A3C2-4E75-8CDE-137F358866D5}</b:Guid>
    <b:Title>Modelo de uso de informacion para la toma de decisiones esstrategicas en organizaciones de informacion</b:Title>
    <b:JournalName>Transinformação</b:JournalName>
    <b:Year>2018</b:Year>
    <b:Pages>pp. 51-64</b:Pages>
    <b:Author>
      <b:Author>
        <b:NameList>
          <b:Person>
            <b:Last>Rodriguez-Cruz</b:Last>
            <b:First>Yunier</b:First>
          </b:Person>
          <b:Person>
            <b:Last>Pinto</b:Last>
            <b:First>Maria</b:First>
          </b:Person>
        </b:NameList>
      </b:Author>
    </b:Author>
    <b:Volume>30</b:Volume>
    <b:Issue>1</b:Issue>
    <b:DOI>https://doi.org/10.1590/2318-08892018000100005</b:DOI>
    <b:RefOrder>1064</b:RefOrder>
  </b:Source>
  <b:Source>
    <b:Tag>MarcadorDePosición84</b:Tag>
    <b:SourceType>JournalArticle</b:SourceType>
    <b:Guid>{AA6B2DAD-A6FF-422F-8201-7E7690776B3A}</b:Guid>
    <b:Title>Procesos de toma de decisiones y adaptacion al cambio climatico</b:Title>
    <b:JournalName>Ambiente &amp; Sociedade</b:JournalName>
    <b:Year>2016</b:Year>
    <b:Pages>pp. 175-194</b:Pages>
    <b:Author>
      <b:Author>
        <b:NameList>
          <b:Person>
            <b:Last>Sandoval </b:Last>
            <b:First>Eduardo</b:First>
          </b:Person>
          <b:Person>
            <b:Last>Diaz</b:Last>
            <b:First>Sebastian</b:First>
          </b:Person>
        </b:NameList>
      </b:Author>
    </b:Author>
    <b:Volume>XIX</b:Volume>
    <b:Issue>4</b:Issue>
    <b:URL>https://www.redalyc.org/articulo.oa?id=31749464013</b:URL>
    <b:RefOrder>1065</b:RefOrder>
  </b:Source>
  <b:Source>
    <b:Tag>Med19</b:Tag>
    <b:SourceType>JournalArticle</b:SourceType>
    <b:Guid>{A4072986-7962-4251-8051-290624D97E5F}</b:Guid>
    <b:Title>Procedimiento para la gestión por procesos: métodos y herramientas de apoyo</b:Title>
    <b:JournalName>Ingeniare. Revista chilena de ingeniería</b:JournalName>
    <b:Year>2019</b:Year>
    <b:Pages>328 - 342.</b:Pages>
    <b:Author>
      <b:Author>
        <b:NameList>
          <b:Person>
            <b:Last>Medina León</b:Last>
            <b:First>Alberto </b:First>
          </b:Person>
          <b:Person>
            <b:Last>Nogueira Rivera</b:Last>
            <b:First>Dianelys </b:First>
          </b:Person>
          <b:Person>
            <b:Last>Hernández-Nariño</b:Last>
            <b:First>Arialys </b:First>
          </b:Person>
          <b:Person>
            <b:Last>Comas Rodríguez</b:Last>
            <b:First>Raúl </b:First>
          </b:Person>
        </b:NameList>
      </b:Author>
    </b:Author>
    <b:URL>https://scielo.conicyt.cl/scielo.php?pid=S0718-33052019000200328&amp;script=sci_arttext&amp;tlng=en</b:URL>
    <b:Volume>27</b:Volume>
    <b:Issue>2</b:Issue>
    <b:RefOrder>1066</b:RefOrder>
  </b:Source>
  <b:Source>
    <b:Tag>MarcadorDePosición85</b:Tag>
    <b:SourceType>JournalArticle</b:SourceType>
    <b:Guid>{CB1B3FE1-F232-4FE0-A1A7-A7C5318452F0}</b:Guid>
    <b:Title>La lúdica como apoyo al proceso de enseñanza-aprendizaje en la universidad de San Buenaventura- Medellín: Temáticas, diagramas del proceso y Kanban</b:Title>
    <b:JournalName>Research. IFEI</b:JournalName>
    <b:Year>2017</b:Year>
    <b:Pages>296</b:Pages>
    <b:Author>
      <b:Author>
        <b:NameList>
          <b:Person>
            <b:Last>Jaramillo C.</b:Last>
            <b:Middle>E.</b:Middle>
            <b:First>Juan </b:First>
          </b:Person>
          <b:Person>
            <b:Last>López R.</b:Last>
            <b:Middle>M.</b:Middle>
            <b:First>Yohana</b:First>
          </b:Person>
        </b:NameList>
      </b:Author>
    </b:Author>
    <b:URL>https://www.researchgate.net/profile/Walter-Hugo-Arboleda-Mazo/publication/333295871_Fortalecimiento_espiritual_con_las_bienaventuranzas_usando_realidad_aumentada/links/5ce5b00da6fdccc9ddc6f443/Fortalecimiento-espiritual-con-las-bienaventuranzas-usando-re</b:URL>
    <b:RefOrder>1067</b:RefOrder>
  </b:Source>
  <b:Source>
    <b:Tag>MarcadorDePosición86</b:Tag>
    <b:SourceType>JournalArticle</b:SourceType>
    <b:Guid>{83451DF9-4F8A-4DBC-B0C3-0DCCE5523D73}</b:Guid>
    <b:Title>Diseño de un sistema para la gestión de inventarios de las pymes en el sector alimentario</b:Title>
    <b:JournalName>Industrial Data</b:JournalName>
    <b:Year>2019</b:Year>
    <b:Author>
      <b:Author>
        <b:NameList>
          <b:Person>
            <b:Last>Carreño</b:Last>
            <b:First>Diego</b:First>
            <b:Middle>Andres</b:Middle>
          </b:Person>
          <b:Person>
            <b:Last>Amaya</b:Last>
            <b:First>Luis</b:First>
            <b:Middle>Felipe</b:Middle>
          </b:Person>
          <b:Person>
            <b:Last>Ruiz</b:Last>
            <b:First>Erika</b:First>
            <b:Middle>Tatiana</b:Middle>
          </b:Person>
          <b:Person>
            <b:Last>Tiboche</b:Last>
            <b:First>Felipe</b:First>
            <b:Middle>Javier</b:Middle>
          </b:Person>
        </b:NameList>
      </b:Author>
    </b:Author>
    <b:Volume>22</b:Volume>
    <b:Issue>1</b:Issue>
    <b:URL>https://www.redalyc.org/articulo.oa?id=81661270007</b:URL>
    <b:Pages>pp. 113-122</b:Pages>
    <b:RefOrder>1068</b:RefOrder>
  </b:Source>
  <b:Source>
    <b:Tag>MarcadorDePosición87</b:Tag>
    <b:SourceType>JournalArticle</b:SourceType>
    <b:Guid>{E20582EF-503E-41F9-81F3-42FC96F6458E}</b:Guid>
    <b:Title>Gestion de politicas de inventario en el almacenamiento de maateriales de acero para la construccion</b:Title>
    <b:JournalName>Revista Ingenieria Industrial</b:JournalName>
    <b:Year>2018</b:Year>
    <b:Author>
      <b:Author>
        <b:NameList>
          <b:Person>
            <b:Last>Contreras</b:Last>
            <b:First>Arturo</b:First>
          </b:Person>
          <b:Person>
            <b:Last>Atziry</b:Last>
            <b:First>Catya</b:First>
          </b:Person>
          <b:Person>
            <b:Last>Martinez</b:Last>
            <b:First>Jose</b:First>
            <b:Middle>Luis</b:Middle>
          </b:Person>
          <b:Person>
            <b:Last>Sánchez</b:Last>
            <b:First>Diana</b:First>
          </b:Person>
        </b:NameList>
      </b:Author>
    </b:Author>
    <b:Volume>17</b:Volume>
    <b:Issue>1</b:Issue>
    <b:DOI>doi.org/10.22320/S07179103/2018.01</b:DOI>
    <b:Pages>pp. 5-22</b:Pages>
    <b:RefOrder>1069</b:RefOrder>
  </b:Source>
  <b:Source>
    <b:Tag>Gar17</b:Tag>
    <b:SourceType>JournalArticle</b:SourceType>
    <b:Guid>{38E390F0-F7E1-417C-88DA-8A94A6C8216E}</b:Guid>
    <b:Title>LA GESTION DE INVENTARIOS COMO FACTOR ESTRATEGICO EN LA ADMINISTRACION DE EMPRESAS</b:Title>
    <b:JournalName>Negotium</b:JournalName>
    <b:Year>2017</b:Year>
    <b:Pages>pp. 109-129</b:Pages>
    <b:Author>
      <b:Author>
        <b:NameList>
          <b:Person>
            <b:Last>Garrido</b:Last>
            <b:First>Irma</b:First>
            <b:Middle>Yolanda</b:Middle>
          </b:Person>
          <b:Person>
            <b:Last>Cejas</b:Last>
            <b:First>Magda</b:First>
          </b:Person>
        </b:NameList>
      </b:Author>
    </b:Author>
    <b:Volume>13</b:Volume>
    <b:Issue>37</b:Issue>
    <b:URL>https://www.redalyc.org/articulo.oa?id=78252811007</b:URL>
    <b:RefOrder>1070</b:RefOrder>
  </b:Source>
  <b:Source>
    <b:Tag>Vel17</b:Tag>
    <b:SourceType>JournalArticle</b:SourceType>
    <b:Guid>{7EEBD4FC-436A-4B02-8949-738C9A56D24B}</b:Guid>
    <b:Title>Metodos para mejorar la eficiencia y la toma de decisiones en la gestion de inventarios</b:Title>
    <b:JournalName>Revista Ciencia Unemi</b:JournalName>
    <b:Year>2017</b:Year>
    <b:Author>
      <b:Author>
        <b:NameList>
          <b:Person>
            <b:Last>Veloz-Navarrete </b:Last>
            <b:First>Carlos </b:First>
          </b:Person>
          <b:Person>
            <b:Last>Parada-Gutierrez </b:Last>
            <b:First>Oscar</b:First>
          </b:Person>
        </b:NameList>
      </b:Author>
    </b:Author>
    <b:Volume>10</b:Volume>
    <b:Issue>22</b:Issue>
    <b:URL>https://www.redalyc.org/articulo.oa?id=582661263003</b:URL>
    <b:Pages>29-38</b:Pages>
    <b:RefOrder>1071</b:RefOrder>
  </b:Source>
  <b:Source>
    <b:Tag>Pav19</b:Tag>
    <b:SourceType>JournalArticle</b:SourceType>
    <b:Guid>{BB079E06-A749-4734-90F8-A35DAA960D6B}</b:Guid>
    <b:Title>Control interno de inventario como recurso competitivo en una PyME de Guayaquil</b:Title>
    <b:JournalName>Revista Venezolana de Gerencia</b:JournalName>
    <b:Year>2019</b:Year>
    <b:Author>
      <b:Author>
        <b:NameList>
          <b:Person>
            <b:Last>Pavon</b:Last>
            <b:First>David</b:First>
            <b:Middle>Enrique</b:Middle>
          </b:Person>
          <b:Person>
            <b:Last>Villa</b:Last>
            <b:First>Luisa</b:First>
            <b:Middle>Carolina</b:Middle>
          </b:Person>
          <b:Person>
            <b:Last>Rueda</b:Last>
            <b:First>Monica</b:First>
            <b:Middle>Catalina</b:Middle>
          </b:Person>
          <b:Person>
            <b:Last>Lomas</b:Last>
            <b:First>Edgar</b:First>
            <b:Middle>Xavier</b:Middle>
          </b:Person>
        </b:NameList>
      </b:Author>
    </b:Author>
    <b:URL>https://www.redalyc.org/articulo.oa?id=29060499014</b:URL>
    <b:Pages>860-873</b:Pages>
    <b:Volume>24</b:Volume>
    <b:Issue>87</b:Issue>
    <b:RefOrder>1072</b:RefOrder>
  </b:Source>
  <b:Source>
    <b:Tag>Lop20</b:Tag>
    <b:SourceType>JournalArticle</b:SourceType>
    <b:Guid>{C61B95C4-7052-471C-98B5-B0EC0D4E6E23}</b:Guid>
    <b:Title>Manejo contable de los inventarios retirados por deterioro. Caso de Estudio: Empresa Azendelog</b:Title>
    <b:Year>2020</b:Year>
    <b:JournalName>593 Digital Publisher</b:JournalName>
    <b:Pages>153-169</b:Pages>
    <b:Author>
      <b:Author>
        <b:NameList>
          <b:Person>
            <b:Last>Lopez-Cajilima</b:Last>
            <b:First>Norma Lucia</b:First>
          </b:Person>
          <b:Person>
            <b:Last>Narvaez-Zurita</b:Last>
            <b:Middle>Ivonne</b:Middle>
            <b:First>Cecilia</b:First>
          </b:Person>
          <b:Person>
            <b:Last>Erazo-Alvarez</b:Last>
            <b:Middle>Carlos</b:Middle>
            <b:First>Juan</b:First>
          </b:Person>
          <b:Person>
            <b:Last>Torres-Palacios</b:Last>
            <b:Middle>Magdalena</b:Middle>
            <b:First>Mireya</b:First>
          </b:Person>
        </b:NameList>
      </b:Author>
    </b:Author>
    <b:DOI>https://doi.org/10.33386/593dp.2020.4-1.303</b:DOI>
    <b:Volume>5</b:Volume>
    <b:Issue>4-1</b:Issue>
    <b:RefOrder>1073</b:RefOrder>
  </b:Source>
  <b:Source>
    <b:Tag>Per18</b:Tag>
    <b:SourceType>JournalArticle</b:SourceType>
    <b:Guid>{2785BBE4-B836-47DB-8F1C-E35A45735D62}</b:Guid>
    <b:Title>Gesttion de inventarios en la empresa SOHO COLOR SALON &amp; SPA en Trujillo (PERU), en2018</b:Title>
    <b:JournalName>Cuadernos Latinoamericanos de Administracion</b:JournalName>
    <b:Year>2018</b:Year>
    <b:Author>
      <b:Author>
        <b:NameList>
          <b:Person>
            <b:Last>Perez</b:Last>
            <b:First>Marita</b:First>
            <b:Middle>Melissa</b:Middle>
          </b:Person>
          <b:Person>
            <b:Last>Wong</b:Last>
            <b:First>Higinio</b:First>
            <b:Middle>Guillermo</b:Middle>
          </b:Person>
        </b:NameList>
      </b:Author>
    </b:Author>
    <b:Volume> XIV</b:Volume>
    <b:Issue> 27</b:Issue>
    <b:URL>https://www.redalyc.org/articulo.oa?id=409658132010</b:URL>
    <b:RefOrder>1074</b:RefOrder>
  </b:Source>
  <b:Source>
    <b:Tag>Ase17</b:Tag>
    <b:SourceType>JournalArticle</b:SourceType>
    <b:Guid>{0B4CB7A8-A10A-4FAF-B3E4-2D9E992EC876}</b:Guid>
    <b:Title>El inventario como determinante en la rentabilidad de las distribuidoras farmaceuticas.</b:Title>
    <b:Year>2017</b:Year>
    <b:JournalName>RETOS. Revista  de Ciencias de la Administracion y Economia</b:JournalName>
    <b:Volume> 7</b:Volume>
    <b:Issue> 13</b:Issue>
    <b:URL>https://www.redalyc.org/articulo.oa?id=504551272009</b:URL>
    <b:Author>
      <b:Author>
        <b:NameList>
          <b:Person>
            <b:Last>Asencio</b:Last>
            <b:First>Luis</b:First>
          </b:Person>
          <b:Person>
            <b:Last>González</b:Last>
            <b:First>Edwin</b:First>
          </b:Person>
          <b:Person>
            <b:Last>Lozano</b:Last>
            <b:First>Mariana</b:First>
          </b:Person>
        </b:NameList>
      </b:Author>
    </b:Author>
    <b:Pages>231-250</b:Pages>
    <b:RefOrder>1075</b:RefOrder>
  </b:Source>
  <b:Source>
    <b:Tag>Cam17</b:Tag>
    <b:SourceType>JournalArticle</b:SourceType>
    <b:Guid>{CD90FDC7-3867-434A-BD40-661D8A4FD495}</b:Guid>
    <b:Title>Opimizacion de los niveles de inventario con enfoque colaborativo en una cadena de suministros de servicios turisticos</b:Title>
    <b:JournalName>Retos de la Direccion</b:JournalName>
    <b:Year>2017</b:Year>
    <b:Author>
      <b:Author>
        <b:NameList>
          <b:Person>
            <b:Last>Camacho</b:Last>
            <b:First>Aliosky</b:First>
          </b:Person>
          <b:Person>
            <b:Last>Machado</b:Last>
            <b:First>Esther</b:First>
            <b:Middle>Lidia</b:Middle>
          </b:Person>
        </b:NameList>
      </b:Author>
    </b:Author>
    <b:Volume>11</b:Volume>
    <b:Issue>2</b:Issue>
    <b:URL>http://scielo.sld.cu/scielo.php?script=sci_arttext&amp;pid=S2306-91552017000200010&amp;lang=es</b:URL>
    <b:Pages>158-176</b:Pages>
    <b:RefOrder>1076</b:RefOrder>
  </b:Source>
  <b:Source>
    <b:Tag>MarcadorDePosición88</b:Tag>
    <b:SourceType>JournalArticle</b:SourceType>
    <b:Guid>{A63798EF-DF91-4456-95F2-B8D9F9169E0E}</b:Guid>
    <b:Title>Gestion de inventario y almacenamiento de materias primas en el sector de alimentos concentrados</b:Title>
    <b:JournalName>Revista EIA</b:JournalName>
    <b:Year>2018</b:Year>
    <b:Pages>195-208</b:Pages>
    <b:Author>
      <b:Author>
        <b:NameList>
          <b:Person>
            <b:Last>Cardona </b:Last>
            <b:Middle>Luis</b:Middle>
            <b:First>Jose </b:First>
          </b:Person>
          <b:Person>
            <b:Last>Orejuela</b:Last>
            <b:Middle>Pablo</b:Middle>
            <b:First>Juan </b:First>
          </b:Person>
          <b:Person>
            <b:Last>Rojas </b:Last>
            <b:Middle>Alberto</b:Middle>
            <b:First>Carlos </b:First>
          </b:Person>
        </b:NameList>
      </b:Author>
    </b:Author>
    <b:Volume>15</b:Volume>
    <b:Issue>30</b:Issue>
    <b:URL>https://revistas.eia.edu.co/index.php/reveia/article/view/1066</b:URL>
    <b:RefOrder>1077</b:RefOrder>
  </b:Source>
  <b:Source>
    <b:Tag>Ced17</b:Tag>
    <b:SourceType>JournalArticle</b:SourceType>
    <b:Guid>{ADA3D8E5-32DF-4990-BF0E-0A90CC4A8491}</b:Guid>
    <b:Title>Sistema de gestion para el control de inventario en la empresa municipal de comercio Majibaco, Las Tunas</b:Title>
    <b:JournalName>Revista  de Investigacion en Tecnologia de la Ingormacion: RITI</b:JournalName>
    <b:Year>2017</b:Year>
    <b:Pages>78-84</b:Pages>
    <b:Author>
      <b:Author>
        <b:NameList>
          <b:Person>
            <b:Last>Cedeño</b:Last>
            <b:Middle>Victoria</b:Middle>
            <b:First>Libely</b:First>
          </b:Person>
          <b:Person>
            <b:Last>Lujo</b:Last>
            <b:First>Zenoyda</b:First>
          </b:Person>
          <b:Person>
            <b:Last>Batista</b:Last>
            <b:Middle>Maria</b:Middle>
            <b:First>Carmen</b:First>
          </b:Person>
          <b:Person>
            <b:Last>Partido </b:Last>
            <b:First>Annelis</b:First>
          </b:Person>
        </b:NameList>
      </b:Author>
    </b:Author>
    <b:Volume>5</b:Volume>
    <b:Issue>10</b:Issue>
    <b:URL>https://dialnet.unirioja.es/servlet/articulo?codigo=7107433</b:URL>
    <b:RefOrder>1078</b:RefOrder>
  </b:Source>
  <b:Source>
    <b:Tag>MarcadorDePosición89</b:Tag>
    <b:SourceType>JournalArticle</b:SourceType>
    <b:Guid>{8F096138-485D-47C9-8931-253B6FDCAAFE}</b:Guid>
    <b:Title>Dinamica de sistemas en la gestion de inventarios</b:Title>
    <b:Year>2018</b:Year>
    <b:JournalName>Ingenieria USBMed</b:JournalName>
    <b:Pages>75-85</b:Pages>
    <b:Author>
      <b:Author>
        <b:NameList>
          <b:Person>
            <b:Last>Agudelo </b:Last>
            <b:Middle>Alejandro</b:Middle>
            <b:First>Daniel</b:First>
          </b:Person>
          <b:Person>
            <b:Last>Lopez</b:Last>
            <b:Middle>Marcela</b:Middle>
            <b:First>Johana </b:First>
          </b:Person>
        </b:NameList>
      </b:Author>
    </b:Author>
    <b:URL>https://dialnet.unirioja.es/servlet/articulo?codigo=6283795</b:URL>
    <b:RefOrder>1079</b:RefOrder>
  </b:Source>
  <b:Source>
    <b:Tag>Apu16</b:Tag>
    <b:SourceType>JournalArticle</b:SourceType>
    <b:Guid>{7C080F23-B9CC-4E98-B772-3479315F3556}</b:Guid>
    <b:Title>Diseño y aplicacion de sistema de gestion en inventarios en empresa ecuatoriana.</b:Title>
    <b:JournalName>Ciencias Holguin</b:JournalName>
    <b:Year>2016</b:Year>
    <b:Pages>1-14</b:Pages>
    <b:Author>
      <b:Author>
        <b:NameList>
          <b:Person>
            <b:Last>Apunte-Garcia </b:Last>
            <b:Middle>Maria</b:Middle>
            <b:First>Ruth</b:First>
          </b:Person>
          <b:Person>
            <b:Last>Rodríguez-Piña</b:Last>
            <b:First>Ramon Antonio</b:First>
          </b:Person>
        </b:NameList>
      </b:Author>
    </b:Author>
    <b:Volume> 22</b:Volume>
    <b:Issue> 3</b:Issue>
    <b:URL>https://www.redalyc.org/articulo.oa?id=181546432006</b:URL>
    <b:RefOrder>1080</b:RefOrder>
  </b:Source>
  <b:Source>
    <b:Tag>Mor19</b:Tag>
    <b:SourceType>JournalArticle</b:SourceType>
    <b:Guid>{151E5311-04E0-49EC-A950-1DEF688B7DAF}</b:Guid>
    <b:Title>Administracion de inventarios</b:Title>
    <b:JournalName>Ciencia y Tecnica Administrativa</b:JournalName>
    <b:Year>2019</b:Year>
    <b:Author>
      <b:Author>
        <b:NameList>
          <b:Person>
            <b:Last>Morell</b:Last>
            <b:First>Daniellys</b:First>
          </b:Person>
          <b:Person>
            <b:Last>Betancourt</b:Last>
            <b:First>Juan</b:First>
          </b:Person>
          <b:Person>
            <b:Last>Acosta </b:Last>
            <b:First>Aguistin</b:First>
          </b:Person>
        </b:NameList>
      </b:Author>
    </b:Author>
    <b:Volume>18</b:Volume>
    <b:Issue>77</b:Issue>
    <b:URL>https://dialnet.unirioja.es/servlet/articulo?codigo=6738879</b:URL>
    <b:RefOrder>1081</b:RefOrder>
  </b:Source>
  <b:Source>
    <b:Tag>Ces17</b:Tag>
    <b:SourceType>JournalArticle</b:SourceType>
    <b:Guid>{63446C22-090A-454B-9B08-796FA1CE8FD4}</b:Guid>
    <b:Title>La administracion de los inventarios en el marco de la administracion financiera a corto plazo</b:Title>
    <b:JournalName>Revista Redipe</b:JournalName>
    <b:Year>2017</b:Year>
    <b:Author>
      <b:Author>
        <b:NameList>
          <b:Person>
            <b:Last>Cespedes</b:Last>
            <b:First>Nancy</b:First>
          </b:Person>
          <b:Person>
            <b:Last>Paz </b:Last>
            <b:First>Jorge</b:First>
          </b:Person>
          <b:Person>
            <b:Last>Jimenez </b:Last>
            <b:First>Felix</b:First>
          </b:Person>
          <b:Person>
            <b:Last>Perez </b:Last>
            <b:First>Leonardo</b:First>
          </b:Person>
          <b:Person>
            <b:Last>Perez </b:Last>
            <b:First>Yaite</b:First>
          </b:Person>
        </b:NameList>
      </b:Author>
    </b:Author>
    <b:Volume>6</b:Volume>
    <b:Issue>5</b:Issue>
    <b:URL>https://revista.redipe.org/index.php/1/article/view/272</b:URL>
    <b:Pages>196-214</b:Pages>
    <b:RefOrder>1082</b:RefOrder>
  </b:Source>
  <b:Source>
    <b:Tag>Juc19</b:Tag>
    <b:SourceType>JournalArticle</b:SourceType>
    <b:Guid>{2CE236B7-F588-4A50-AE77-E8BC53A6447E}</b:Guid>
    <b:Title>Modelo de gestión y control de inventarios para la determinacion de los niveles optimos en la cadena de suministros de la Empresa Modesto Casajoana Cia Ltda</b:Title>
    <b:JournalName>593 DIGITAL PUBLISHER</b:JournalName>
    <b:Year>2019</b:Year>
    <b:Pages>19-39</b:Pages>
    <b:Author>
      <b:Author>
        <b:NameList>
          <b:Person>
            <b:Last>Juca</b:Last>
            <b:First>Cristina</b:First>
          </b:Person>
          <b:Person>
            <b:Last>Narváez </b:Last>
            <b:First>Cecilia</b:First>
          </b:Person>
          <b:Person>
            <b:Last>Erazo</b:Last>
            <b:First>Juan</b:First>
          </b:Person>
          <b:Person>
            <b:Last>Luna</b:Last>
            <b:First>Kleber </b:First>
          </b:Person>
        </b:NameList>
      </b:Author>
    </b:Author>
    <b:URL>https://www.593dp.com/index.php/593_Digital_Publisher/article/view/110</b:URL>
    <b:Volume>4</b:Volume>
    <b:Issue>3-1</b:Issue>
    <b:RefOrder>1083</b:RefOrder>
  </b:Source>
  <b:Source>
    <b:Tag>Gon20</b:Tag>
    <b:SourceType>JournalArticle</b:SourceType>
    <b:Guid>{5B938B12-3FC3-4AAB-A531-52B5E937BF62}</b:Guid>
    <b:Title>Un modelo de gestion de inventarios basado en estrategia competitiva</b:Title>
    <b:JournalName>Ingeniare. Revista chilena de ingenieria</b:JournalName>
    <b:Year>2020</b:Year>
    <b:Pages>133-142</b:Pages>
    <b:URL>https://scielo.conicyt.cl/scielo.php?script=sci_arttext&amp;pid=S0718-33052020000100133&amp;lng=en&amp;nrm=iso</b:URL>
    <b:Author>
      <b:Author>
        <b:NameList>
          <b:Person>
            <b:Last>Gonzáles </b:Last>
            <b:First>Adolfo</b:First>
          </b:Person>
        </b:NameList>
      </b:Author>
    </b:Author>
    <b:Volume>28</b:Volume>
    <b:Issue>1</b:Issue>
    <b:RefOrder>1084</b:RefOrder>
  </b:Source>
  <b:Source>
    <b:Tag>Agu15</b:Tag>
    <b:SourceType>JournalArticle</b:SourceType>
    <b:Guid>{6E3891A3-7B59-4C97-A5C8-5309CCC58311}</b:Guid>
    <b:Title>Parametrización y evaluación de Política de Inventario (s,Q) en Hospitales: Un caso de estudio en la ciudad de Barranquilla</b:Title>
    <b:JournalName>Revista Prospectiva</b:JournalName>
    <b:Year>2015</b:Year>
    <b:Pages>pp. 99-105</b:Pages>
    <b:Author>
      <b:Author>
        <b:NameList>
          <b:Person>
            <b:Last>Aguirre </b:Last>
            <b:First>Silebis</b:First>
          </b:Person>
          <b:Person>
            <b:Last>Ardila</b:Last>
            <b:First>Weimar</b:First>
          </b:Person>
          <b:Person>
            <b:Last>Figueroa </b:Last>
            <b:First>Lindsay</b:First>
          </b:Person>
          <b:Person>
            <b:Last>Romero </b:Last>
            <b:First>Daniel</b:First>
          </b:Person>
        </b:NameList>
      </b:Author>
    </b:Author>
    <b:Volume>13</b:Volume>
    <b:Issue>1</b:Issue>
    <b:URL>https://www.redalyc.org/articulo.oa?id=496250641010</b:URL>
    <b:RefOrder>1085</b:RefOrder>
  </b:Source>
  <b:Source>
    <b:Tag>Vie17</b:Tag>
    <b:SourceType>JournalArticle</b:SourceType>
    <b:Guid>{FB379881-B825-4B54-8FE2-BEB782D8290C}</b:Guid>
    <b:Title>Diagnosticos de los modelos de gestion de inventarios de alimentos en empresas hoteleras.</b:Title>
    <b:JournalName>ECOCIENCIA</b:JournalName>
    <b:Year>2017</b:Year>
    <b:Pages>28-51</b:Pages>
    <b:Author>
      <b:Author>
        <b:NameList>
          <b:Person>
            <b:Last>Viera </b:Last>
            <b:First>Emil</b:First>
          </b:Person>
          <b:Person>
            <b:Last>Cardona </b:Last>
            <b:First>Diana</b:First>
          </b:Person>
          <b:Person>
            <b:Last>Torres </b:Last>
            <b:First>Roberto </b:First>
          </b:Person>
          <b:Person>
            <b:Last>Mera</b:Last>
            <b:First>Bella </b:First>
          </b:Person>
        </b:NameList>
      </b:Author>
    </b:Author>
    <b:URL>http://revistas.ecotec.edu.ec/index.php/ecociencia/article/view/31/24</b:URL>
    <b:Volume>4</b:Volume>
    <b:Issue>3</b:Issue>
    <b:RefOrder>1086</b:RefOrder>
  </b:Source>
  <b:Source>
    <b:Tag>Par19</b:Tag>
    <b:SourceType>JournalArticle</b:SourceType>
    <b:Guid>{4F4AC787-4578-4BB9-A56C-3C86DC577D06}</b:Guid>
    <b:Title>Sistema de control de inventarios multicriterio difuso para repuestos</b:Title>
    <b:JournalName>Scientia Et Technica</b:JournalName>
    <b:Year>2019</b:Year>
    <b:Author>
      <b:Author>
        <b:NameList>
          <b:Person>
            <b:Last>Paredes Rodríguez</b:Last>
            <b:Middle>M</b:Middle>
            <b:First>A. </b:First>
          </b:Person>
          <b:Person>
            <b:Last>Chud Pantoja</b:Last>
            <b:Middle>L.</b:Middle>
            <b:First>V. </b:First>
          </b:Person>
          <b:Person>
            <b:Last>Osorio Gómez </b:Last>
            <b:Middle>C</b:Middle>
            <b:First>J</b:First>
          </b:Person>
        </b:NameList>
      </b:Author>
    </b:Author>
    <b:Pages>595-603</b:Pages>
    <b:DOI>https://doi.org/10.22517/23447214.22331</b:DOI>
    <b:Volume>24</b:Volume>
    <b:Issue>4</b:Issue>
    <b:RefOrder>1087</b:RefOrder>
  </b:Source>
  <b:Source>
    <b:Tag>Man20</b:Tag>
    <b:SourceType>JournalArticle</b:SourceType>
    <b:Guid>{0233A880-4FCB-4551-89AB-515FBFC0C879}</b:Guid>
    <b:Title>Estrategia de control interno para el área de inventarios en la empresa Ferricortez comercializadora de productos ferreteros en el cantón Santo Domingo</b:Title>
    <b:Year>2020</b:Year>
    <b:Author>
      <b:Author>
        <b:NameList>
          <b:Person>
            <b:Last>Manosalvas Gómez</b:Last>
            <b:Middle>Rodolfo</b:Middle>
            <b:First>Luis </b:First>
          </b:Person>
          <b:Person>
            <b:Last>Baque Villanueva</b:Last>
            <b:Middle>Karina</b:Middle>
            <b:First>Lisenia</b:First>
          </b:Person>
          <b:Person>
            <b:Last>Peñafiel Nivela </b:Last>
            <b:Middle>Arturo</b:Middle>
            <b:First>Gonzalo</b:First>
          </b:Person>
        </b:NameList>
      </b:Author>
    </b:Author>
    <b:JournalName>Revista Universidad y Sociedad</b:JournalName>
    <b:Pages>288-293</b:Pages>
    <b:Volume>12</b:Volume>
    <b:Issue>4</b:Issue>
    <b:URL>http://scielo.sld.cu/scielo.php?script=sci_arttext&amp;pid=S2218-36202020000400288&amp;lng=es&amp;tlng=es</b:URL>
    <b:RefOrder>1088</b:RefOrder>
  </b:Source>
  <b:Source>
    <b:Tag>Otz17</b:Tag>
    <b:SourceType>JournalArticle</b:SourceType>
    <b:Guid>{C82CF6A2-C440-4A8A-AF79-493B35B62478}</b:Guid>
    <b:Title>Técnicas de Muestreo sobre una Población a Estudio.</b:Title>
    <b:JournalName>International Journal of Morphology</b:JournalName>
    <b:Year>2017</b:Year>
    <b:Pages>227-232</b:Pages>
    <b:City>Arica</b:City>
    <b:Month>Marzo</b:Month>
    <b:Volume>35</b:Volume>
    <b:Issue>1</b:Issue>
    <b:URL>https://dx.doi.org/10.4067/S0717-95022017000100037</b:URL>
    <b:Author>
      <b:Author>
        <b:NameList>
          <b:Person>
            <b:Last>Otzen</b:Last>
            <b:First>Tamara </b:First>
          </b:Person>
          <b:Person>
            <b:Last>Manterola</b:Last>
            <b:First>Carlos </b:First>
          </b:Person>
        </b:NameList>
      </b:Author>
    </b:Author>
    <b:RefOrder>1089</b:RefOrder>
  </b:Source>
  <b:Source>
    <b:Tag>Peñ16</b:Tag>
    <b:SourceType>JournalArticle</b:SourceType>
    <b:Guid>{F7377A08-05A1-49A8-9FD7-7666E97089E9}</b:Guid>
    <b:Title>Factores Incidentes sobre la gestion de sistemas de inventario en organizaciones venezolanas</b:Title>
    <b:JournalName>Telos</b:JournalName>
    <b:Year>2016</b:Year>
    <b:Pages>pp. 187-207</b:Pages>
    <b:Author>
      <b:Author>
        <b:NameList>
          <b:Person>
            <b:Last>Peña</b:Last>
            <b:First>Omaira</b:First>
          </b:Person>
          <b:Person>
            <b:Last>Silva</b:Last>
            <b:First>Rafael</b:First>
          </b:Person>
        </b:NameList>
      </b:Author>
    </b:Author>
    <b:Volume>Vol 18</b:Volume>
    <b:Issue>num 2</b:Issue>
    <b:URL>https://www.redalyc.org/pdf/993/99345727003.pdf</b:URL>
    <b:RefOrder>1090</b:RefOrder>
  </b:Source>
  <b:Source>
    <b:Tag>Ari21</b:Tag>
    <b:SourceType>JournalArticle</b:SourceType>
    <b:Guid>{32DF267F-9EE4-4B94-98B0-35AF2DB2F820}</b:Guid>
    <b:Title>Software y métodos de control: herramientas claves para el manejo de inventarios microempresariales </b:Title>
    <b:JournalName>593 Digital Publisher CEIT</b:JournalName>
    <b:Year>2021</b:Year>
    <b:Pages>pp. 308-324</b:Pages>
    <b:Author>
      <b:Author>
        <b:NameList>
          <b:Person>
            <b:Last>Arias-Unuzungo </b:Last>
            <b:Middle>Lourdes</b:Middle>
            <b:First>Lisbeth </b:First>
          </b:Person>
          <b:Person>
            <b:Last>Ramon-Ulloa</b:Last>
            <b:Middle>Steeven</b:Middle>
            <b:First>Diego</b:First>
          </b:Person>
          <b:Person>
            <b:Last>Pacheco-Molina</b:Last>
            <b:Middle>Marcelo</b:Middle>
            <b:First>Andrés</b:First>
          </b:Person>
          <b:Person>
            <b:Last>Romero-Black</b:Last>
            <b:Middle>Eduardo</b:Middle>
            <b:First>Wilton</b:First>
          </b:Person>
        </b:NameList>
      </b:Author>
    </b:Author>
    <b:Volume>6</b:Volume>
    <b:Issue>3</b:Issue>
    <b:URL>https://www.593dp.com/index.php/593_Digital_Publisher/article/view/586</b:URL>
    <b:RefOrder>1091</b:RefOrder>
  </b:Source>
  <b:Source>
    <b:Tag>Vas15</b:Tag>
    <b:SourceType>JournalArticle</b:SourceType>
    <b:Guid>{FE45595E-B0A4-4BB2-A4EF-3BCF2E01C658}</b:Guid>
    <b:Author>
      <b:Author>
        <b:NameList>
          <b:Person>
            <b:Last>Vasquez</b:Last>
            <b:First>Barquero,Antonio</b:First>
          </b:Person>
          <b:Person>
            <b:Last>Rodriguez</b:Last>
            <b:First>Cohard,Juan,Carlos</b:First>
          </b:Person>
        </b:NameList>
      </b:Author>
    </b:Author>
    <b:Title>La politica de desarrollo local: los desafios de los territorios de desarrollo tardío.</b:Title>
    <b:JournalName>Revista Estudios</b:JournalName>
    <b:Year>2015</b:Year>
    <b:Pages>pp. 625-638</b:Pages>
    <b:Day>18</b:Day>
    <b:Volume>47</b:Volume>
    <b:Issue>186</b:Issue>
    <b:URL>https://recyt.fecyt.es/index.php/CyTET/article/view/76436/46783</b:URL>
    <b:StandardNumber>ISSN : 2659-3254</b:StandardNumber>
    <b:RefOrder>1092</b:RefOrder>
  </b:Source>
  <b:Source>
    <b:Tag>Cai19</b:Tag>
    <b:SourceType>JournalArticle</b:SourceType>
    <b:Guid>{753109A9-2D37-4BA2-96D2-B299022DCAF8}</b:Guid>
    <b:Title>Diseño de un sistema de producción de arroz sostenible en Babahoyo, provincia de Los Ríos, Ecuador.</b:Title>
    <b:JournalName>Killakana Técnica</b:JournalName>
    <b:Year>2019</b:Year>
    <b:Pages>pp. 19-24</b:Pages>
    <b:Author>
      <b:Author>
        <b:NameList>
          <b:Person>
            <b:Last>Caicedo-Camposano</b:Last>
            <b:First>Oscar</b:First>
          </b:Person>
          <b:Person>
            <b:Last>Díaz-Romero</b:Last>
            <b:First>Orlando</b:First>
          </b:Person>
          <b:Person>
            <b:Last>Cadena-Piedrahita</b:Last>
            <b:First>Dalton</b:First>
          </b:Person>
          <b:Person>
            <b:Last>Galarza-Centero</b:Last>
            <b:First>Gino</b:First>
          </b:Person>
        </b:NameList>
      </b:Author>
    </b:Author>
    <b:Volume>3</b:Volume>
    <b:Issue>1</b:Issue>
    <b:DOI>https://doi.org/10.26871/killkana_tecnica.v3i1.472</b:DOI>
    <b:StandardNumber>ISSN: 2588-0888</b:StandardNumber>
    <b:RefOrder>1093</b:RefOrder>
  </b:Source>
  <b:Source>
    <b:Tag>Pér</b:Tag>
    <b:SourceType>JournalArticle</b:SourceType>
    <b:Guid>{38E31A6B-DC0E-4D2B-B5D6-01D705BEF093}</b:Guid>
    <b:Title>Principales enfermedades que afectan al cultivo del arroz en Ecuador y alternativas para su control.</b:Title>
    <b:JournalName>Revista Científica Agroecosistemas</b:JournalName>
    <b:Author>
      <b:Author>
        <b:NameList>
          <b:Person>
            <b:Last>Pérez</b:Last>
            <b:First>Hipólito</b:First>
          </b:Person>
          <b:Person>
            <b:Last>Rodríguez</b:Last>
            <b:First>Irán</b:First>
          </b:Person>
          <b:Person>
            <b:Last>García</b:Last>
            <b:First>Rigoberto</b:First>
          </b:Person>
        </b:NameList>
      </b:Author>
    </b:Author>
    <b:Year>2018</b:Year>
    <b:Pages>pp.16-27</b:Pages>
    <b:Volume>6</b:Volume>
    <b:Issue>1</b:Issue>
    <b:URL>https://aes.ucf.edu.cu/index.php/aes/article/view/160</b:URL>
    <b:StandardNumber>ISSN: 2415-2862</b:StandardNumber>
    <b:RefOrder>1094</b:RefOrder>
  </b:Source>
  <b:Source>
    <b:Tag>Cob201</b:Tag>
    <b:SourceType>JournalArticle</b:SourceType>
    <b:Guid>{398A2CA8-E964-4357-B14A-4E651351B898}</b:Guid>
    <b:Author>
      <b:Author>
        <b:NameList>
          <b:Person>
            <b:Last>Cobos</b:Last>
            <b:First>Fernando</b:First>
          </b:Person>
          <b:Person>
            <b:Last>Hasang</b:Last>
            <b:First>Edwin</b:First>
          </b:Person>
          <b:Person>
            <b:Last>Lombeida</b:Last>
            <b:First>Emma</b:First>
          </b:Person>
          <b:Person>
            <b:Last>Medina</b:Last>
            <b:First>Reina</b:First>
          </b:Person>
        </b:NameList>
      </b:Author>
    </b:Author>
    <b:Title>Caracterización de fincas arroceras en sistemas de producción bajo riesgo, en el cantón Daule.</b:Title>
    <b:JournalName>Journal of science and research: Revista Ciencia e Investigación</b:JournalName>
    <b:Year>2020</b:Year>
    <b:Pages>pp. 156-168</b:Pages>
    <b:Volume>5</b:Volume>
    <b:Issue>CININGEC</b:Issue>
    <b:URL>https://revistas.utb.edu.ec/index.php/sr/article/view/1004</b:URL>
    <b:StandardNumber>ISSN: 2528-8083</b:StandardNumber>
    <b:RefOrder>1095</b:RefOrder>
  </b:Source>
  <b:Source>
    <b:Tag>Cob20</b:Tag>
    <b:SourceType>JournalArticle</b:SourceType>
    <b:Guid>{6273EF89-3B2D-4191-9734-8E34F51ABA26}</b:Guid>
    <b:Title>Sostenibilidad del cultivo del arroz (Oryza satina L.) en la zona de Daule, provincia del Guayas, Ecuador.</b:Title>
    <b:JournalName>Journal of Science and Research</b:JournalName>
    <b:Year>2020</b:Year>
    <b:Pages>pp. 1-16</b:Pages>
    <b:Author>
      <b:Author>
        <b:NameList>
          <b:Person>
            <b:Last>Cobos</b:Last>
            <b:First>Fernando</b:First>
          </b:Person>
          <b:Person>
            <b:Last>Gómez</b:Last>
            <b:First>Juan</b:First>
          </b:Person>
          <b:Person>
            <b:Last>Hasang</b:Last>
            <b:First>Edwin</b:First>
          </b:Person>
          <b:Person>
            <b:Last>Medina</b:Last>
            <b:First>Reina</b:First>
          </b:Person>
        </b:NameList>
      </b:Author>
    </b:Author>
    <b:Volume>5</b:Volume>
    <b:Issue>4</b:Issue>
    <b:URL>https://revistas.utb.edu.ec/index.php/sr/article/view/692</b:URL>
    <b:StandardNumber>ISSN: 2528-8083</b:StandardNumber>
    <b:RefOrder>1096</b:RefOrder>
  </b:Source>
  <b:Source>
    <b:Tag>Lóp</b:Tag>
    <b:SourceType>JournalArticle</b:SourceType>
    <b:Guid>{0CEBB1F9-80C9-4C94-B5E0-6716E74430C6}</b:Guid>
    <b:Author>
      <b:Author>
        <b:NameList>
          <b:Person>
            <b:Last>López</b:Last>
            <b:First>Guillermo</b:First>
          </b:Person>
          <b:Person>
            <b:Last>Toledo</b:Last>
            <b:First>Odalys</b:First>
          </b:Person>
          <b:Person>
            <b:Last>Meza</b:Last>
            <b:First>Johana</b:First>
          </b:Person>
        </b:NameList>
      </b:Author>
    </b:Author>
    <b:Title>La producción de arroz en la provincia del Guayas en el período 2011-2015. Principales afectaciones</b:Title>
    <b:JournalName>Revista Científica Agroecosistemas</b:JournalName>
    <b:Year>2017</b:Year>
    <b:Pages>pp. 47-53</b:Pages>
    <b:Volume>5</b:Volume>
    <b:Issue>1</b:Issue>
    <b:URL>https://aes.ucf.edu.cu/index.php/aes/article/view/140</b:URL>
    <b:StandardNumber>ISSN: 2415-2862</b:StandardNumber>
    <b:RefOrder>1097</b:RefOrder>
  </b:Source>
  <b:Source>
    <b:Tag>MarcadorDePosición90</b:Tag>
    <b:SourceType>JournalArticle</b:SourceType>
    <b:Guid>{497E8AC1-9A0E-4D9F-88C1-DC8E58A3E274}</b:Guid>
    <b:Title>Principales insectos plaga, invertebrados y vertebrados que atacan el cultivo del arroz en Ecuador.</b:Title>
    <b:JournalName>Revista Científica Agroecosistemas</b:JournalName>
    <b:Year>2018</b:Year>
    <b:Pages>pp. 95-107</b:Pages>
    <b:Author>
      <b:Author>
        <b:NameList>
          <b:Person>
            <b:Last>Rodríguez</b:Last>
            <b:First>Irán</b:First>
          </b:Person>
          <b:Person>
            <b:Last>Pérez</b:Last>
            <b:First>Hipólito</b:First>
          </b:Person>
          <b:Person>
            <b:Last>Socorro</b:Last>
            <b:First>Alejandro</b:First>
          </b:Person>
        </b:NameList>
      </b:Author>
    </b:Author>
    <b:Volume>6</b:Volume>
    <b:Issue>1</b:Issue>
    <b:URL>https://biblat.unam.mx/es/revista/agroecosistemas/articulo/principales-insectos-plaga-invertebrados-y-vertebrados-que-atacan-el-cultivo-del-arroz-en-ecuador</b:URL>
    <b:StandardNumber>ISSN: 2415-2862</b:StandardNumber>
    <b:RefOrder>1098</b:RefOrder>
  </b:Source>
  <b:Source>
    <b:Tag>Inz19</b:Tag>
    <b:SourceType>JournalArticle</b:SourceType>
    <b:Guid>{E82AED7A-13AD-4AB6-9767-40E019850D1A}</b:Guid>
    <b:Author>
      <b:Author>
        <b:NameList>
          <b:Person>
            <b:Last>Inzuna-Acosta</b:Last>
            <b:First>Ramón</b:First>
          </b:Person>
          <b:Person>
            <b:Last>Librado-Gonzalez</b:Last>
            <b:First>Moisés</b:First>
          </b:Person>
          <b:Person>
            <b:Last>Castro-Leal</b:Last>
            <b:First>Eric</b:First>
          </b:Person>
          <b:Person>
            <b:Last>Santiago-Sarmiento</b:Last>
            <b:First>Victor</b:First>
          </b:Person>
        </b:NameList>
      </b:Author>
    </b:Author>
    <b:Title>La microempresa en el desarrollo endógeno: Idea de convertirla en el agente local de crecimiento</b:Title>
    <b:JournalName>Salud y Administración</b:JournalName>
    <b:Year>2019</b:Year>
    <b:Pages>pp. 39-55</b:Pages>
    <b:Volume>6</b:Volume>
    <b:Issue>18</b:Issue>
    <b:URL>https://revista.unsis.edu.mx/index.php/saludyadmon/article/view/157</b:URL>
    <b:StandardNumber>ISSN: 2007-7971</b:StandardNumber>
    <b:RefOrder>1099</b:RefOrder>
  </b:Source>
  <b:Source>
    <b:Tag>MarcadorDePosición91</b:Tag>
    <b:SourceType>JournalArticle</b:SourceType>
    <b:Guid>{0D4AABAA-B413-408C-8F8F-E7D63D0C1CEA}</b:Guid>
    <b:Author>
      <b:Author>
        <b:NameList>
          <b:Person>
            <b:Last>Fernandez</b:Last>
            <b:First>Lorenzo,Angie</b:First>
          </b:Person>
          <b:Person>
            <b:Last>Contreras</b:Last>
            <b:First>Dí,Yimian</b:First>
          </b:Person>
        </b:NameList>
      </b:Author>
    </b:Author>
    <b:Title>Procedimiento para el perfecionamient del Sistema de comercialización en las cooperativas de producción Ahgropecuaria de la provincia Pinar del Río.</b:Title>
    <b:JournalName>Revista de Coopertativismo y Desarrollo</b:JournalName>
    <b:Year>2016</b:Year>
    <b:Volume>4</b:Volume>
    <b:Issue>1</b:Issue>
    <b:URL>https://dialnet.unirioja.es/servlet/articulo?codigo=5607717</b:URL>
    <b:StandardNumber>ISSN: 2310-340X</b:StandardNumber>
    <b:Pages>pp. 1-11</b:Pages>
    <b:RefOrder>1100</b:RefOrder>
  </b:Source>
  <b:Source>
    <b:Tag>Plú19</b:Tag>
    <b:SourceType>JournalArticle</b:SourceType>
    <b:Guid>{6E838E72-5029-48B6-BDB7-779168545E32}</b:Guid>
    <b:Author>
      <b:Author>
        <b:NameList>
          <b:Person>
            <b:Last>Plúas</b:Last>
            <b:First>Madelayne</b:First>
          </b:Person>
          <b:Person>
            <b:Last>Méndez</b:Last>
            <b:First>Marcel</b:First>
          </b:Person>
          <b:Person>
            <b:Last>Plúas</b:Last>
            <b:First>Danny</b:First>
          </b:Person>
          <b:Person>
            <b:Last>Huayamave</b:Last>
            <b:First>Ángel</b:First>
          </b:Person>
        </b:NameList>
      </b:Author>
    </b:Author>
    <b:Title>Mejora del proceso continuo mediante la aplicación de la metodología DMAIC en la línea de producción chocolatera de una empresa alimenticia.</b:Title>
    <b:JournalName>Ingeniería inductrial</b:JournalName>
    <b:Year>2019</b:Year>
    <b:Pages>pp. 14-22</b:Pages>
    <b:Month>enero</b:Month>
    <b:Day>30</b:Day>
    <b:Volume>23</b:Volume>
    <b:Issue>90</b:Issue>
    <b:URL>https://uctunexpo.autanabooks.com/index.php/uct/article/view/98</b:URL>
    <b:StandardNumber>ISSN: 2542-3401</b:StandardNumber>
    <b:RefOrder>1101</b:RefOrder>
  </b:Source>
  <b:Source>
    <b:Tag>MarcadorDePosición92</b:Tag>
    <b:SourceType>JournalArticle</b:SourceType>
    <b:Guid>{038F9854-9FAB-4589-80B6-23D54A3B1321}</b:Guid>
    <b:Author>
      <b:Author>
        <b:NameList>
          <b:Person>
            <b:Last>Arteaga-Macías</b:Last>
            <b:First>Ramón</b:First>
          </b:Person>
        </b:NameList>
      </b:Author>
    </b:Author>
    <b:Title>Economía popular y solidaria. República del Ecuador</b:Title>
    <b:JournalName>Dominio de las Ciencias</b:JournalName>
    <b:Year>2017</b:Year>
    <b:Pages>pp. 533-542</b:Pages>
    <b:Volume>3</b:Volume>
    <b:Issue>4</b:Issue>
    <b:URL>https://dominiodelasciencias.com/ojs/index.php/es/article/view/703</b:URL>
    <b:StandardNumber>ISSN: 2477-8818</b:StandardNumber>
    <b:RefOrder>1102</b:RefOrder>
  </b:Source>
  <b:Source>
    <b:Tag>MarcadorDePosición93</b:Tag>
    <b:SourceType>JournalArticle</b:SourceType>
    <b:Guid>{51E13D1F-8127-4430-B259-ECCE2955257B}</b:Guid>
    <b:Author>
      <b:Author>
        <b:NameList>
          <b:Person>
            <b:Last>Sanchez</b:Last>
            <b:First>Quezada,Tatiana</b:First>
          </b:Person>
          <b:Person>
            <b:Last>Gordillo</b:Last>
            <b:First>Quizhpe,Iván</b:First>
          </b:Person>
          <b:Person>
            <b:Last>Huanca</b:Last>
            <b:First>Huanca,Rody</b:First>
          </b:Person>
        </b:NameList>
      </b:Author>
    </b:Author>
    <b:Title>La eocnomía popular y solidaria de la producción de alimentos derivados del pestado del cantón Santa Rosa</b:Title>
    <b:JournalName>Revista Innova Research Journal</b:JournalName>
    <b:Year>2018</b:Year>
    <b:Pages>pp. 159-166</b:Pages>
    <b:Volume>3</b:Volume>
    <b:Issue>12</b:Issue>
    <b:DOI>https://doi.org/10.33890/innova.v3.n12.2018.842</b:DOI>
    <b:StandardNumber>ISSN: 2477-9024</b:StandardNumber>
    <b:RefOrder>1103</b:RefOrder>
  </b:Source>
  <b:Source>
    <b:Tag>Agu16</b:Tag>
    <b:SourceType>JournalArticle</b:SourceType>
    <b:Guid>{57648431-A172-42D1-9033-1796AD91E13D}</b:Guid>
    <b:Author>
      <b:Author>
        <b:NameList>
          <b:Person>
            <b:Last>Aguas</b:Last>
            <b:First>Lourdes</b:First>
          </b:Person>
        </b:NameList>
      </b:Author>
    </b:Author>
    <b:Title>La Economía popular y solidaria como proyecto político post-neoliberal de Ecuador. Caso: Acuerdo comercial unión Europea-Ecuador</b:Title>
    <b:JournalName>Pontificia Universidad Católica del Ecuador</b:JournalName>
    <b:Year>2016</b:Year>
    <b:Pages>pp. 313-342</b:Pages>
    <b:Volume>3</b:Volume>
    <b:Issue>100</b:Issue>
    <b:DOI>https://doi.org/10.26807/revpuce.v0i103.44</b:DOI>
    <b:StandardNumber>ISSN: 1390-7719</b:StandardNumber>
    <b:RefOrder>1104</b:RefOrder>
  </b:Source>
  <b:Source>
    <b:Tag>MarcadorDePosición94</b:Tag>
    <b:SourceType>JournalArticle</b:SourceType>
    <b:Guid>{E8AFFED3-F203-493F-B44A-B65D3165D383}</b:Guid>
    <b:Author>
      <b:Author>
        <b:NameList>
          <b:Person>
            <b:Last>Vega</b:Last>
            <b:First>Ugalde,Silvia</b:First>
          </b:Person>
        </b:NameList>
      </b:Author>
    </b:Author>
    <b:Title>La política de Economía popular y Solidaria en Ecuador. Una visión de su gubernamentalidad.</b:Title>
    <b:JournalName>Revista Latinoamericana de Economía Social y Solidaria</b:JournalName>
    <b:Year>2016</b:Year>
    <b:Pages>pp. 77-90</b:Pages>
    <b:Volume>10</b:Volume>
    <b:Issue>18</b:Issue>
    <b:DOI>https://doi.org/10.4013/otra.2016.1018.07</b:DOI>
    <b:StandardNumber>ISSN: 1851-4715</b:StandardNumber>
    <b:RefOrder>1105</b:RefOrder>
  </b:Source>
  <b:Source>
    <b:Tag>Auq18</b:Tag>
    <b:SourceType>JournalArticle</b:SourceType>
    <b:Guid>{A69EC517-13C7-4A09-A06B-0EA9B590F497}</b:Guid>
    <b:Author>
      <b:Author>
        <b:NameList>
          <b:Person>
            <b:Last>Auquilla-Belema</b:Last>
            <b:First>Luis</b:First>
          </b:Person>
          <b:Person>
            <b:Last>Auquilla-Ordoñez</b:Last>
            <b:First>Álvaro</b:First>
          </b:Person>
          <b:Person>
            <b:Last>Ordoñez</b:Last>
            <b:First>Bravo,Elsa</b:First>
          </b:Person>
        </b:NameList>
      </b:Author>
    </b:Author>
    <b:Title>La economía popular y solidaria y las finanzas populares y solidarias en Ecuador</b:Title>
    <b:JournalName>Revista Killkana Sociales</b:JournalName>
    <b:Year>2018</b:Year>
    <b:Pages>pp. 17-24</b:Pages>
    <b:Volume>2</b:Volume>
    <b:Issue>3</b:Issue>
    <b:DOI>https://doi.org/10.26871/killkana_social.v2i3.318</b:DOI>
    <b:StandardNumber>ISSN: 2588-087X</b:StandardNumber>
    <b:RefOrder>1106</b:RefOrder>
  </b:Source>
  <b:Source>
    <b:Tag>Alt19</b:Tag>
    <b:SourceType>JournalArticle</b:SourceType>
    <b:Guid>{526BE6EC-2166-4AAE-9B2A-080FEE8D4133}</b:Guid>
    <b:Author>
      <b:Author>
        <b:NameList>
          <b:Person>
            <b:Last>Altamirano</b:Last>
            <b:First>Analuisa,Danilo</b:First>
          </b:Person>
          <b:Person>
            <b:Last>Bautista</b:Last>
            <b:First>Toapanda,Paulina</b:First>
          </b:Person>
          <b:Person>
            <b:Last>Tisalema</b:Last>
            <b:First>Borja,Jessica</b:First>
          </b:Person>
        </b:NameList>
      </b:Author>
    </b:Author>
    <b:Title>Gobierno cooperativo e innovación social en el sector de la Economía popular y solidaria</b:Title>
    <b:JournalName>Revista Digital de Ciencia y TEcnología e Innovación</b:JournalName>
    <b:Year>2019</b:Year>
    <b:Pages>pp. 24-48</b:Pages>
    <b:Volume>6</b:Volume>
    <b:Issue>1</b:Issue>
    <b:URL>http://45.238.216.13/ojs/index.php/EPISTEME/article/view/1239/540</b:URL>
    <b:StandardNumber>ISSN: 1390-9150</b:StandardNumber>
    <b:RefOrder>1107</b:RefOrder>
  </b:Source>
  <b:Source>
    <b:Tag>MarcadorDePosición95</b:Tag>
    <b:SourceType>JournalArticle</b:SourceType>
    <b:Guid>{93C10261-BCC1-4A0C-B7B5-B9B7AE3A2D77}</b:Guid>
    <b:Title>Sistema Financiero Popular y Solidario y su evolución desde la implementación de la nueva Ley Orgániza de Economía Popular y Solidaria del Ecuador.</b:Title>
    <b:JournalName>Cooperativismo y Desarrollo</b:JournalName>
    <b:Year>2018</b:Year>
    <b:Pages>pp. 66-77</b:Pages>
    <b:Author>
      <b:Author>
        <b:NameList>
          <b:Person>
            <b:Last>Ortega-Pereira</b:Last>
            <b:First>Jaime</b:First>
          </b:Person>
          <b:Person>
            <b:Last>Borja-Borja</b:Last>
            <b:First>Fernando</b:First>
          </b:Person>
          <b:Person>
            <b:Last>Aguilar-Rodriguez</b:Last>
            <b:First>Liliana,Moreno-Cazar,Willian</b:First>
          </b:Person>
        </b:NameList>
      </b:Author>
      <b:Editor>
        <b:NameList>
          <b:Person>
            <b:Last>Lina</b:Last>
            <b:First>Blanco</b:First>
            <b:Middle>Cardona</b:Middle>
          </b:Person>
        </b:NameList>
      </b:Editor>
    </b:Author>
    <b:Volume>25</b:Volume>
    <b:Issue>112</b:Issue>
    <b:DOI>https://doi.org/10.16925/co.v25i112.2036</b:DOI>
    <b:StandardNumber>ISSN: 2382-4220</b:StandardNumber>
    <b:RefOrder>1108</b:RefOrder>
  </b:Source>
  <b:Source>
    <b:Tag>Bra18</b:Tag>
    <b:SourceType>JournalArticle</b:SourceType>
    <b:Guid>{404B2575-828B-4A96-9F97-1E7D32D5E11A}</b:Guid>
    <b:Author>
      <b:Author>
        <b:NameList>
          <b:Person>
            <b:Last>Bravo</b:Last>
            <b:First>Rosillo,Nancy</b:First>
          </b:Person>
          <b:Person>
            <b:Last>Intriagi</b:Last>
            <b:First>Cedeño,Mercedes</b:First>
          </b:Person>
          <b:Person>
            <b:Last>Rosillo</b:Last>
            <b:First>Suarez,Azucena</b:First>
          </b:Person>
        </b:NameList>
      </b:Author>
    </b:Author>
    <b:Title>Fortalecimiento organizativo de las unidades económicas populares y colidarias - Area textil y las capacidades técnicas organizativas.</b:Title>
    <b:JournalName>Revista de San Gregorio</b:JournalName>
    <b:Year>2018</b:Year>
    <b:Pages>pp. 82-93</b:Pages>
    <b:Issue>28</b:Issue>
    <b:URL>http://201.159.222.49/index.php/REVISTASANGREGORIO/article/view/10</b:URL>
    <b:StandardNumber>ISSN: 1390-7247</b:StandardNumber>
    <b:RefOrder>1109</b:RefOrder>
  </b:Source>
  <b:Source>
    <b:Tag>Arg19</b:Tag>
    <b:SourceType>JournalArticle</b:SourceType>
    <b:Guid>{F4C4F96F-3493-4528-8E1C-CA88C848CFFF}</b:Guid>
    <b:Author>
      <b:Author>
        <b:NameList>
          <b:Person>
            <b:Last>Arguello</b:Last>
            <b:First>Nuñez,León,Benigno</b:First>
          </b:Person>
          <b:Person>
            <b:Last>Purcachi</b:Last>
            <b:First>Aguirre,Walther</b:First>
          </b:Person>
          <b:Person>
            <b:Last>Pérez</b:Last>
            <b:First>Arévalo,Mario</b:First>
          </b:Person>
        </b:NameList>
      </b:Author>
    </b:Author>
    <b:Title>La economia popular y solidaria en el desarrollo territorial. Análisis de las organizaciones del sector no financiero en la provincia de los Rios-Ecuador.</b:Title>
    <b:JournalName>Revista de la Facultad de Cultura Física de la Universidad de Granma</b:JournalName>
    <b:Year>2019</b:Year>
    <b:Volume>16</b:Volume>
    <b:Issue>53</b:Issue>
    <b:URL>https://dialnet.unirioja.es/servlet/articulo?codigo=7007077</b:URL>
    <b:StandardNumber>ISSN: 1817-9088</b:StandardNumber>
    <b:Pages>pp. 1-1</b:Pages>
    <b:RefOrder>1110</b:RefOrder>
  </b:Source>
  <b:Source>
    <b:Tag>Pro18</b:Tag>
    <b:SourceType>JournalArticle</b:SourceType>
    <b:Guid>{661ADA04-339D-4E94-9E8D-2C0A22AD4568}</b:Guid>
    <b:Author>
      <b:Author>
        <b:NameList>
          <b:Person>
            <b:Last>Proaño</b:Last>
            <b:First>Córdova,Telmo</b:First>
          </b:Person>
          <b:Person>
            <b:Last>Tapia</b:Last>
            <b:First>Panchi,Erika</b:First>
          </b:Person>
          <b:Person>
            <b:Last>Álvarez</b:Last>
            <b:First>Jimenez,Elsy</b:First>
          </b:Person>
          <b:Person>
            <b:Last>Ortiz</b:Last>
            <b:First>Roman,Helmer</b:First>
          </b:Person>
          <b:Person>
            <b:Last>Mora</b:Last>
            <b:First>Jati,Paola</b:First>
          </b:Person>
        </b:NameList>
      </b:Author>
    </b:Author>
    <b:Title>El trabajo en equipo de las asociaciones, en un marco de la economia popular y solidaria: estudio en un programa gubernamental.</b:Title>
    <b:JournalName>EsVisión Gerencial</b:JournalName>
    <b:Year>2018</b:Year>
    <b:Pages>pp. 125-137</b:Pages>
    <b:Issue>1</b:Issue>
    <b:URL>https://www.redalyc.org/jatsRepo/4655/465554397011/html/index.html</b:URL>
    <b:StandardNumber>ISSN: 1317-8822</b:StandardNumber>
    <b:RefOrder>1111</b:RefOrder>
  </b:Source>
  <b:Source>
    <b:Tag>MarcadorDePosición96</b:Tag>
    <b:SourceType>JournalArticle</b:SourceType>
    <b:Guid>{F6379846-DAC6-4941-91C1-4AEBDEB5B99F}</b:Guid>
    <b:Author>
      <b:Author>
        <b:NameList>
          <b:Person>
            <b:Last>Fernandez</b:Last>
            <b:First>Angie</b:First>
          </b:Person>
          <b:Person>
            <b:Last>Ricardo-Fernandez</b:Last>
            <b:First>Raúl</b:First>
          </b:Person>
          <b:Person>
            <b:Last>Rivera</b:Last>
            <b:First>Claudio</b:First>
          </b:Person>
          <b:Person>
            <b:Last>Calero</b:Last>
            <b:First>Santiago</b:First>
          </b:Person>
        </b:NameList>
      </b:Author>
    </b:Author>
    <b:Title>Desafios en la gestión de las cooperativas de producción agropecuaria tabaleras de la provincia Pinar del Río,Cuba</b:Title>
    <b:Year>2016</b:Year>
    <b:URL>https://repositorioslatinoamericanos.uchile.cl/handle/2250/223495</b:URL>
    <b:JournalName>Agroalimentaria</b:JournalName>
    <b:Pages>pp. 119-132</b:Pages>
    <b:Volume>22</b:Volume>
    <b:Issue>42</b:Issue>
    <b:StandardNumber>ISSN: 1316-0354</b:StandardNumber>
    <b:RefOrder>1112</b:RefOrder>
  </b:Source>
  <b:Source>
    <b:Tag>Leó</b:Tag>
    <b:SourceType>JournalArticle</b:SourceType>
    <b:Guid>{8F254F45-5AAE-43BE-B932-6586757BB255}</b:Guid>
    <b:Author>
      <b:Author>
        <b:NameList>
          <b:Person>
            <b:Last>León</b:Last>
            <b:First>Serrano,Lady</b:First>
          </b:Person>
        </b:NameList>
      </b:Author>
    </b:Author>
    <b:Title>Características emprendedoras del Sector Cooperativista de la Economía Popular y Solidaria, Provincia de El Oro.</b:Title>
    <b:JournalName>Revista San Gregorio</b:JournalName>
    <b:Year>2019</b:Year>
    <b:Pages>pp. 138-155</b:Pages>
    <b:Month>Diciembre</b:Month>
    <b:Issue>35</b:Issue>
    <b:StandardNumber>ISSN: 1390-7247</b:StandardNumber>
    <b:URL>http://revista.sangregorio.edu.ec/index.php/REVISTASANGREGORIO/article/view/1130</b:URL>
    <b:RefOrder>1113</b:RefOrder>
  </b:Source>
  <b:Source>
    <b:Tag>MarcadorDePosición97</b:Tag>
    <b:SourceType>JournalArticle</b:SourceType>
    <b:Guid>{2DB676A5-28BB-4820-9C72-332D16B81957}</b:Guid>
    <b:Author>
      <b:Author>
        <b:NameList>
          <b:Person>
            <b:Last>Gongora-Escobar</b:Last>
            <b:First>Hernán</b:First>
          </b:Person>
          <b:Person>
            <b:Last>Rodriguez-Salazar</b:Last>
            <b:First>Pedro</b:First>
          </b:Person>
          <b:Person>
            <b:Last>Zumárraga-Marroquín</b:Last>
            <b:First>Eduardo</b:First>
          </b:Person>
        </b:NameList>
      </b:Author>
    </b:Author>
    <b:Title>Importancia del balance social en las Cooperativas del Ecuador</b:Title>
    <b:JournalName>Revista CienciAmericca</b:JournalName>
    <b:Year>2017</b:Year>
    <b:Pages>pp. 126-133</b:Pages>
    <b:Volume>6</b:Volume>
    <b:Issue>2</b:Issue>
    <b:URL>http://cienciamerica.uti.edu.ec/openjournal/index.php/uti/article/view/135</b:URL>
    <b:StandardNumber>ISSN: 1390-9592</b:StandardNumber>
    <b:RefOrder>1114</b:RefOrder>
  </b:Source>
  <b:Source>
    <b:Tag>Zam19</b:Tag>
    <b:SourceType>JournalArticle</b:SourceType>
    <b:Guid>{ADD5A06E-7EA1-4CEB-B531-2D326A2AFE21}</b:Guid>
    <b:Author>
      <b:Author>
        <b:NameList>
          <b:Person>
            <b:Last>Zambrano</b:Last>
            <b:First>Karol</b:First>
          </b:Person>
        </b:NameList>
      </b:Author>
    </b:Author>
    <b:Title>Fidelización en el sector cooperativo de caràcter institucional en Ecuador.</b:Title>
    <b:JournalName>Estudios de la gestión: Revista internacional de administración</b:JournalName>
    <b:Year>2019</b:Year>
    <b:Pages>pp. 111-133</b:Pages>
    <b:Issue>6</b:Issue>
    <b:URL>https://revistas.uasb.edu.ec/index.php/eg/article/view/1302</b:URL>
    <b:StandardNumber>ISSN: 2661-6513</b:StandardNumber>
    <b:RefOrder>1115</b:RefOrder>
  </b:Source>
  <b:Source>
    <b:Tag>Row19</b:Tag>
    <b:SourceType>JournalArticle</b:SourceType>
    <b:Guid>{AB4CF88F-7EF6-4BA1-AAD1-C4AD3523ED78}</b:Guid>
    <b:Author>
      <b:Author>
        <b:NameList>
          <b:Person>
            <b:Last>Rowland</b:Last>
            <b:First>Lopez,Fernando</b:First>
          </b:Person>
        </b:NameList>
      </b:Author>
    </b:Author>
    <b:Title>¿Existe desarrollo endogeno en la comuna de Valparaiso?</b:Title>
    <b:JournalName>Revistas Horizontes empresariales</b:JournalName>
    <b:Year>2019</b:Year>
    <b:Pages>pp. 33-54</b:Pages>
    <b:Volume>18</b:Volume>
    <b:Issue>2</b:Issue>
    <b:URL>http://revistas.ubiobio.cl/index.php/HHEE/article/view/3909</b:URL>
    <b:StandardNumber>ISSN: 0717-9901</b:StandardNumber>
    <b:RefOrder>1116</b:RefOrder>
  </b:Source>
  <b:Source>
    <b:Tag>Boi15</b:Tag>
    <b:SourceType>JournalArticle</b:SourceType>
    <b:Guid>{5F71F265-6457-4A0C-B1D1-839BAE5A4976}</b:Guid>
    <b:Author>
      <b:Author>
        <b:NameList>
          <b:Person>
            <b:Last>Boiser</b:Last>
            <b:First>Sergio</b:First>
          </b:Person>
        </b:NameList>
      </b:Author>
    </b:Author>
    <b:Title>Bioregionalismo: Una ventana hacia el desarrollo territorial endógeno y sustentable</b:Title>
    <b:JournalName>Revista de desarrollo local</b:JournalName>
    <b:Year>2015</b:Year>
    <b:Pages>pp. 42-66</b:Pages>
    <b:Issue>1</b:Issue>
    <b:StandardNumber>ISSN:  2386-9968</b:StandardNumber>
    <b:URL>https://ojs.uv.es/index.php/TERRA/article/viewFile/4589/4490</b:URL>
    <b:RefOrder>1117</b:RefOrder>
  </b:Source>
  <b:Source>
    <b:Tag>MarcadorDePosición98</b:Tag>
    <b:SourceType>JournalArticle</b:SourceType>
    <b:Guid>{095BF23A-1A91-4B76-B64A-DD786296450A}</b:Guid>
    <b:Author>
      <b:Author>
        <b:NameList>
          <b:Person>
            <b:Last>Mendoza</b:Last>
            <b:First>Áviles,Henry,Loor,Bruno,Ángela</b:First>
          </b:Person>
          <b:Person>
            <b:Last>Vilema</b:Last>
            <b:First>Escudero,Segundo</b:First>
          </b:Person>
        </b:NameList>
      </b:Author>
    </b:Author>
    <b:Title>El arroz y su importancia en los emprendimientos rurales de la agroindustria como mecanismo de desarrollo de Samborondon</b:Title>
    <b:JournalName>Universidad y localidad</b:JournalName>
    <b:Year>2019</b:Year>
    <b:Pages>pp. 324-330</b:Pages>
    <b:Volume>11</b:Volume>
    <b:Issue>1</b:Issue>
    <b:DOI>http://rus.ucf.edu.cu/index.php/rus</b:DOI>
    <b:StandardNumber>ISSN: 2415-2897</b:StandardNumber>
    <b:RefOrder>1118</b:RefOrder>
  </b:Source>
  <b:Source>
    <b:Tag>MarcadorDePosición99</b:Tag>
    <b:SourceType>JournalArticle</b:SourceType>
    <b:Guid>{3E07C28E-80E7-4C5F-BA70-F5C0D93A5AE7}</b:Guid>
    <b:Author>
      <b:Author>
        <b:NameList>
          <b:Person>
            <b:Last>Martinez-Carrasquero</b:Last>
            <b:First>Cynthia</b:First>
          </b:Person>
        </b:NameList>
      </b:Author>
    </b:Author>
    <b:Title>Responsabilidad social universitaria, transferencia tecnológica y desarrollo endógeno. Estrategias de vinculación comunitaria.</b:Title>
    <b:JournalName>Revista latinoamericana de difusión cientifica</b:JournalName>
    <b:Year>2020</b:Year>
    <b:Pages>pp. 55-67</b:Pages>
    <b:Volume>1</b:Volume>
    <b:Issue>1</b:Issue>
    <b:URL>http://www.difusioncientifica.info/index.php/difusioncientifica/article/view/5</b:URL>
    <b:StandardNumber>ISSN: 2711-0494</b:StandardNumber>
    <b:RefOrder>1119</b:RefOrder>
  </b:Source>
  <b:Source>
    <b:Tag>Lla17</b:Tag>
    <b:SourceType>JournalArticle</b:SourceType>
    <b:Guid>{F489CFB9-3852-4F7B-AA49-300C04EBF0F0}</b:Guid>
    <b:Author>
      <b:Author>
        <b:NameList>
          <b:Person>
            <b:Last>Llanes-Font</b:Last>
            <b:First>Mariluz</b:First>
          </b:Person>
          <b:Person>
            <b:Last>Lorenzo-Llanes</b:Last>
            <b:First>Jose</b:First>
          </b:Person>
        </b:NameList>
      </b:Author>
    </b:Author>
    <b:Title>Gestión integrada por procesos. Encadenamiento denámico de interacciones relevantes para su despliegue.</b:Title>
    <b:JournalName>Ciencias Holguin</b:JournalName>
    <b:Year>2017</b:Year>
    <b:Pages>pp. 1-13</b:Pages>
    <b:Volume>23</b:Volume>
    <b:Issue>1</b:Issue>
    <b:URL>https://www.redalyc.org/pdf/1815/181549596006.pdf</b:URL>
    <b:StandardNumber>E-ISSN :  1027-2127</b:StandardNumber>
    <b:RefOrder>1120</b:RefOrder>
  </b:Source>
  <b:Source>
    <b:Tag>MarcadorDePosición100</b:Tag>
    <b:SourceType>JournalArticle</b:SourceType>
    <b:Guid>{F2F62768-053C-48BB-9F84-F0AA8E2EFEB7}</b:Guid>
    <b:Title>APLICACIÓN DE LA MEJORA DE PROCESOS EN LA EMPRESA IMPLEMENTOS AGRÍCOLAS “EL TIMÓN”</b:Title>
    <b:JournalName>ECA Sinergia</b:JournalName>
    <b:Year>2018</b:Year>
    <b:Pages>pp. 32-44</b:Pages>
    <b:Author>
      <b:Author>
        <b:NameList>
          <b:Person>
            <b:Last>Martínez</b:Last>
            <b:First>Celia</b:First>
          </b:Person>
          <b:Person>
            <b:Last>Cruz</b:Last>
            <b:First>Franklin</b:First>
          </b:Person>
          <b:Person>
            <b:Last>Ramírez</b:Last>
            <b:First>Jorge</b:First>
          </b:Person>
          <b:Person>
            <b:Last>Medina </b:Last>
            <b:First>Alberto</b:First>
          </b:Person>
        </b:NameList>
      </b:Author>
    </b:Author>
    <b:DOI>https://doi.org/10.33936/eca_sinergia.v9i2.1261</b:DOI>
    <b:StandardNumber>E- ISSN: 2528-7869</b:StandardNumber>
    <b:RefOrder>1121</b:RefOrder>
  </b:Source>
  <b:Source>
    <b:Tag>Qui18</b:Tag>
    <b:SourceType>JournalArticle</b:SourceType>
    <b:Guid>{45999B99-CEF9-478C-BB1B-4B386793625E}</b:Guid>
    <b:Author>
      <b:Author>
        <b:NameList>
          <b:Person>
            <b:Last>Quinteros</b:Last>
            <b:First>Diana</b:First>
          </b:Person>
          <b:Person>
            <b:Last>Pilla</b:Last>
            <b:First>Cristian</b:First>
          </b:Person>
        </b:NameList>
      </b:Author>
    </b:Author>
    <b:Title>Mejora de los procesos en tiempo y calidad en la Ferretería Fermae.</b:Title>
    <b:JournalName>Espirales</b:JournalName>
    <b:Year>2018</b:Year>
    <b:Pages>pp. 64-74</b:Pages>
    <b:Volume>2</b:Volume>
    <b:Issue>19</b:Issue>
    <b:StandardNumber>ISSN: 2550-6862</b:StandardNumber>
    <b:URL>https://www.revistaespirales.com/index.php/es/article/view/677</b:URL>
    <b:RefOrder>1122</b:RefOrder>
  </b:Source>
  <b:Source>
    <b:Tag>MarcadorDePosición101</b:Tag>
    <b:SourceType>JournalArticle</b:SourceType>
    <b:Guid>{7A5146CF-C99E-40F2-A30E-0F54003D5013}</b:Guid>
    <b:Author>
      <b:Author>
        <b:NameList>
          <b:Person>
            <b:Last>Benavidez</b:Last>
            <b:First>Vera,Erika</b:First>
          </b:Person>
          <b:Person>
            <b:Last>Segarra</b:Last>
            <b:First>Farfán,Erika</b:First>
          </b:Person>
          <b:Person>
            <b:Last>Colina-morales</b:Last>
            <b:First>Eliezer</b:First>
          </b:Person>
          <b:Person>
            <b:Last>Arcentales-Carrion</b:Last>
            <b:First>Rodrigo</b:First>
          </b:Person>
        </b:NameList>
      </b:Author>
    </b:Author>
    <b:Title>Levantamiento de procesos como base para la aplicación de sistemas de costeo basado en actividades en empresas de ensamblaje</b:Title>
    <b:JournalName>Revista Economía y Politica</b:JournalName>
    <b:Year>2019</b:Year>
    <b:Issue>30</b:Issue>
    <b:DOI>https://doi.org/10.25097/rep.n30.2019.03</b:DOI>
    <b:Pages>pp. 40-71</b:Pages>
    <b:StandardNumber>ISSN : 1390-7921</b:StandardNumber>
    <b:RefOrder>1123</b:RefOrder>
  </b:Source>
  <b:Source>
    <b:Tag>MarcadorDePosición102</b:Tag>
    <b:SourceType>JournalArticle</b:SourceType>
    <b:Guid>{AC7F262F-5EA7-4949-87FD-8A1ED617CEAC}</b:Guid>
    <b:Author>
      <b:Author>
        <b:NameList>
          <b:Person>
            <b:Last>Rodriguez</b:Last>
            <b:First>Muñoz,Raúl</b:First>
          </b:Person>
          <b:Person>
            <b:Last>pérez</b:Last>
            <b:First>Fernandez,Damayse</b:First>
          </b:Person>
        </b:NameList>
      </b:Author>
    </b:Author>
    <b:Title>Perfecionamiento de la gestión por procesos en una universidad</b:Title>
    <b:JournalName>Visión de futuro</b:JournalName>
    <b:Year>2018</b:Year>
    <b:Volume>22</b:Volume>
    <b:Issue>2</b:Issue>
    <b:URL>https://www.redalyc.org/jatsRepo/3579/357959312011/html/index.html</b:URL>
    <b:Pages>pp. 192 -213</b:Pages>
    <b:StandardNumber>ISSN: 1668-8708</b:StandardNumber>
    <b:RefOrder>1124</b:RefOrder>
  </b:Source>
  <b:Source>
    <b:Tag>MarcadorDePosición103</b:Tag>
    <b:SourceType>JournalArticle</b:SourceType>
    <b:Guid>{6726F89E-742B-49AC-A532-2C3E41FB7D19}</b:Guid>
    <b:Author>
      <b:Author>
        <b:NameList>
          <b:Person>
            <b:Last>Vargas-Rogriguez</b:Last>
            <b:First>Yolanda</b:First>
          </b:Person>
          <b:Person>
            <b:Last>Valdivia</b:Last>
            <b:First>Adolfo</b:First>
          </b:Person>
          <b:Person>
            <b:Last>Escamilla</b:Last>
            <b:First>Analbel</b:First>
          </b:Person>
          <b:Person>
            <b:Last>Ruvalcaba</b:Last>
            <b:First>René</b:First>
          </b:Person>
          <b:Person>
            <b:Last>Vargas</b:Last>
            <b:First>Guadalupe</b:First>
          </b:Person>
        </b:NameList>
      </b:Author>
    </b:Author>
    <b:Title>El diagrama de flujo como semáforo de seguridad ecológica dee los experimentos de laboratorio.</b:Title>
    <b:Year>2016</b:Year>
    <b:JournalName>Educación Química</b:JournalName>
    <b:Pages>pp. 30-36</b:Pages>
    <b:Volume>27</b:Volume>
    <b:DOI>http://revistas.unam.mx/index.php/req/article/view/63350/55610</b:DOI>
    <b:StandardNumber>ISSN: 0187-893X</b:StandardNumber>
    <b:RefOrder>1125</b:RefOrder>
  </b:Source>
  <b:Source>
    <b:Tag>Ric</b:Tag>
    <b:SourceType>JournalArticle</b:SourceType>
    <b:Guid>{EAD69DF1-E3E0-49C1-8C1F-FB208B565E5D}</b:Guid>
    <b:URL>https://dialnet.unirioja.es/servlet/articulo?codigo=6311882</b:URL>
    <b:Author>
      <b:Author>
        <b:NameList>
          <b:Person>
            <b:Last>Ricardo-Cabrera</b:Last>
            <b:First>Henrry</b:First>
          </b:Person>
          <b:Person>
            <b:Last>Abreu-Ledón</b:Last>
            <b:First>René</b:First>
          </b:Person>
          <b:Person>
            <b:Last>Gómez-Dorta</b:Last>
            <b:First>Rafael</b:First>
          </b:Person>
          <b:Person>
            <b:Last>Nogueira-Rivera</b:Last>
            <b:First>Dianelys</b:First>
          </b:Person>
        </b:NameList>
      </b:Author>
    </b:Author>
    <b:Title>Modelo para la mejora de procesos en contribución a la integración de sistemas</b:Title>
    <b:JournalName>Revista científica de Ingeniería Industrial</b:JournalName>
    <b:Year>2018</b:Year>
    <b:StandardNumber>ISSN: 1815-5936</b:StandardNumber>
    <b:Pages>pp. 15-23</b:Pages>
    <b:Volume>39</b:Volume>
    <b:Issue>1</b:Issue>
    <b:RefOrder>1126</b:RefOrder>
  </b:Source>
  <b:Source>
    <b:Tag>Sup15</b:Tag>
    <b:SourceType>InternetSite</b:SourceType>
    <b:Guid>{EC869A87-FFCE-4742-8E8A-E998DD437348}</b:Guid>
    <b:Title>Superintendencia de compaías, valores y seguros.</b:Title>
    <b:Year>2015</b:Year>
    <b:Author>
      <b:Author>
        <b:Corporate>Superintendencia de compañias, valores y seguros</b:Corporate>
      </b:Author>
    </b:Author>
    <b:URL>https://www.supercias.gob.ec/portalscvs/</b:URL>
    <b:RefOrder>1127</b:RefOrder>
  </b:Source>
  <b:Source>
    <b:Tag>Góm17</b:Tag>
    <b:SourceType>JournalArticle</b:SourceType>
    <b:Guid>{82550BA0-C2B9-47D9-984E-0D8A4957E825}</b:Guid>
    <b:Title>Siembra directa: una alternativa para mejorar la sustentabilidad del cultivo de arroz (Oryza sativa L.) en el Perú</b:Title>
    <b:JournalName>Producción Agropecuaria y Desarrollo Sostenible</b:JournalName>
    <b:Year>2017</b:Year>
    <b:Pages>pp. 13-26</b:Pages>
    <b:StandardNumber>ISSN: 2305-1744</b:StandardNumber>
    <b:URL>https://www.camjol.info/index.php/PAyDS/article/view/5716</b:URL>
    <b:Author>
      <b:Author>
        <b:NameList>
          <b:Person>
            <b:Last>Gómez</b:Last>
            <b:First>Luz</b:First>
          </b:Person>
          <b:Person>
            <b:Last>Soplín</b:Last>
            <b:First>Hugo</b:First>
          </b:Person>
          <b:Person>
            <b:Last> Sosa</b:Last>
            <b:First>Guillermo</b:First>
          </b:Person>
          <b:Person>
            <b:Last>Heros</b:Last>
            <b:First>Elizabeth</b:First>
          </b:Person>
        </b:NameList>
      </b:Author>
    </b:Author>
    <b:RefOrder>1128</b:RefOrder>
  </b:Source>
  <b:Source>
    <b:Tag>Cre18</b:Tag>
    <b:SourceType>JournalArticle</b:SourceType>
    <b:Guid>{6D81A542-9B86-446A-8612-8C0CB31AD9DB}</b:Guid>
    <b:Author>
      <b:Author>
        <b:NameList>
          <b:Person>
            <b:Last>Crespo</b:Last>
            <b:First>Orozco</b:First>
          </b:Person>
          <b:Person>
            <b:Last>Cossío</b:Last>
            <b:First>Sablón</b:First>
          </b:Person>
          <b:Person>
            <b:Last>Santana</b:Last>
            <b:First>Diéguez</b:First>
          </b:Person>
          <b:Person>
            <b:Last>Rosero</b:Last>
            <b:First>Lomas</b:First>
          </b:Person>
          <b:Person>
            <b:Last>Yocanda</b:Last>
            <b:First>Carina</b:First>
          </b:Person>
        </b:NameList>
      </b:Author>
    </b:Author>
    <b:Title>Plan agregado de una empresa textil. Caso de estudio de Imbabura, Ecuador</b:Title>
    <b:JournalName>Revista digital de Ciencia, Tecnología e Innovación</b:JournalName>
    <b:Year>2018</b:Year>
    <b:Pages>pp. 263-278</b:Pages>
    <b:Volume>5</b:Volume>
    <b:Issue>3</b:Issue>
    <b:URL>http://45.238.216.13/ojs/index.php/EPISTEME/article/view/1073/506</b:URL>
    <b:StandardNumber>ISSN: 1390-9150</b:StandardNumber>
    <b:RefOrder>1129</b:RefOrder>
  </b:Source>
  <b:Source>
    <b:Tag>Mir20</b:Tag>
    <b:SourceType>JournalArticle</b:SourceType>
    <b:Guid>{09FDCDA7-2B3F-4DAD-9844-3F69C9011229}</b:Guid>
    <b:Title>Incidencia de la Informalidad Laboral en el Sector Comercial de Tulcán - Ipiales</b:Title>
    <b:JournalName>Sathiri: sembrador</b:JournalName>
    <b:Year>2020</b:Year>
    <b:Pages>pp. 60-74</b:Pages>
    <b:URL>https://revistasdigitales.upec.edu.ec/index.php/sathiri/article/view/931</b:URL>
    <b:Author>
      <b:Author>
        <b:NameList>
          <b:Person>
            <b:Last>Miranda</b:Last>
            <b:First>Jorge</b:First>
          </b:Person>
          <b:Person>
            <b:Last>Hernández</b:Last>
            <b:First>Lizeth</b:First>
          </b:Person>
          <b:Person>
            <b:Last>Leyton</b:Last>
            <b:First>Gabriela</b:First>
          </b:Person>
        </b:NameList>
      </b:Author>
    </b:Author>
    <b:StandardNumber>ISSN: 1390-6925</b:StandardNumber>
    <b:RefOrder>1130</b:RefOrder>
  </b:Source>
  <b:Source xmlns:b="http://schemas.openxmlformats.org/officeDocument/2006/bibliography">
    <b:Tag>Far20</b:Tag>
    <b:SourceType>JournalArticle</b:SourceType>
    <b:Guid>{5C277E62-A05E-4EC0-9624-8A21F582850B}</b:Guid>
    <b:Title>Estudio  exploratorio  en  Iberoamérica  sobre  procesos  de  enseñanza-aprendizaje  y propuesta de evaluación en tiempos de pandemia</b:Title>
    <b:JournalName>Education in the Knowledge Society</b:JournalName>
    <b:Year>2020</b:Year>
    <b:StandardNumber>ISSN: 2444-8729</b:StandardNumber>
    <b:URL>https://revistas.usal.es/index.php/eks/article/view/eks20202117/22557</b:URL>
    <b:Author>
      <b:Author>
        <b:NameList>
          <b:Person>
            <b:Last>Fardoun</b:Last>
            <b:First>Habib</b:First>
          </b:Person>
          <b:Person>
            <b:Last>González</b:Last>
            <b:First>Carina</b:First>
          </b:Person>
          <b:Person>
            <b:Last>Collazos</b:Last>
            <b:First>Cesar</b:First>
          </b:Person>
          <b:Person>
            <b:Last>Yousef</b:Last>
            <b:First>Mohammad </b:First>
          </b:Person>
        </b:NameList>
      </b:Author>
    </b:Author>
    <b:Pages>pp. 1-17</b:Pages>
    <b:RefOrder>1131</b:RefOrder>
  </b:Source>
  <b:Source>
    <b:Tag>Abu16</b:Tag>
    <b:SourceType>JournalArticle</b:SourceType>
    <b:Guid>{74F7DF78-7040-4950-9F91-58093F90B652}</b:Guid>
    <b:Title>Beneficios de las encuestas electronicas como apoyo para la Investigación</b:Title>
    <b:JournalName>Revista Académica de Investigación</b:JournalName>
    <b:Year>2016</b:Year>
    <b:Pages>pp: 168-186</b:Pages>
    <b:Author>
      <b:Author>
        <b:NameList>
          <b:Person>
            <b:Last>Abundis</b:Last>
            <b:First>Victor</b:First>
          </b:Person>
        </b:NameList>
      </b:Author>
    </b:Author>
    <b:StandardNumber>ISSN: 1989-9300</b:StandardNumber>
    <b:URL>https://dialnet.unirioja.es/servlet/articulo?codigo=7286080</b:URL>
    <b:RefOrder>1132</b:RefOrder>
  </b:Source>
  <b:Source>
    <b:Tag>MarcadorDePosición104</b:Tag>
    <b:SourceType>JournalArticle</b:SourceType>
    <b:Guid>{44EB74DF-5F0B-4635-B679-EBA4837282B0}</b:Guid>
    <b:Title>Aplicación de la Teoría de Restricciones en la actividad camaronera de ANDAMAR S.A. (Ecuador): Estrategias para el mejoramiento continuo</b:Title>
    <b:JournalName>Revista Espacios</b:JournalName>
    <b:Year>2018</b:Year>
    <b:Pages>p.  19</b:Pages>
    <b:Author>
      <b:Author>
        <b:NameList>
          <b:Person>
            <b:Last>Mora</b:Last>
            <b:First>Norman</b:First>
          </b:Person>
          <b:Person>
            <b:Last>Pupo </b:Last>
            <b:First>Juan</b:First>
          </b:Person>
          <b:Person>
            <b:Last>Novillo </b:Last>
            <b:First>Ernesto</b:First>
          </b:Person>
          <b:Person>
            <b:Last>Espinosa</b:Last>
            <b:First>Miguel</b:First>
          </b:Person>
        </b:NameList>
      </b:Author>
    </b:Author>
    <b:StandardNumber>ISSN: 0798 1015</b:StandardNumber>
    <b:URL>http://es.revistaespacios.com/a18v39n39/18393919.html</b:URL>
    <b:RefOrder>1133</b:RefOrder>
  </b:Source>
  <b:Source>
    <b:Tag>And08</b:Tag>
    <b:SourceType>Book</b:SourceType>
    <b:Guid>{B2895A97-3823-4081-A490-3EAA49767C34}</b:Guid>
    <b:Title>Estadística para administración y economía</b:Title>
    <b:Year>2008</b:Year>
    <b:Author>
      <b:Author>
        <b:NameList>
          <b:Person>
            <b:Last>Anderson</b:Last>
            <b:First>David</b:First>
          </b:Person>
          <b:Person>
            <b:Last>Sweeney</b:Last>
            <b:First>Dennis</b:First>
          </b:Person>
          <b:Person>
            <b:Last>Williams</b:Last>
            <b:First>THomas</b:First>
          </b:Person>
        </b:NameList>
      </b:Author>
    </b:Author>
    <b:Publisher>Cengage Learning Editores, S.A</b:Publisher>
    <b:StandardNumber>ISBN: 481-319-7</b:StandardNumber>
    <b:Pages>pp. 1-1097</b:Pages>
    <b:URL>https://periodicooficial.jalisco.gob.mx/sites/periodicooficial.jalisco.gob.mx/files/estadistica-para-administracion-y-economia_anderson_sweeney_y_williams.pdf</b:URL>
    <b:RefOrder>1134</b:RefOrder>
  </b:Source>
  <b:Source>
    <b:Tag>MarcadorDePosición105</b:Tag>
    <b:SourceType>JournalArticle</b:SourceType>
    <b:Guid>{F9E68787-3058-4291-B9D0-D342282D3476}</b:Guid>
    <b:Title>La mejora continua de los procesos en una organización fortalecida mediante el uso de herramientas de apoyo a la toma de decisiones.</b:Title>
    <b:Year>2016</b:Year>
    <b:URL>https://editorial.ucsg.edu.ec/ojs-empresarial/index.php/empresarial-ucsg/article/view/35</b:URL>
    <b:Author>
      <b:Author>
        <b:NameList>
          <b:Person>
            <b:Last>Pérez</b:Last>
            <b:First>Guerra,Yailí</b:First>
          </b:Person>
        </b:NameList>
      </b:Author>
    </b:Author>
    <b:JournalName>Revista empresarial</b:JournalName>
    <b:Pages>pp. 9-19</b:Pages>
    <b:Volume>10</b:Volume>
    <b:Issue>1</b:Issue>
    <b:StandardNumber>ISSN 1390-3748</b:StandardNumber>
    <b:RefOrder>1135</b:RefOrder>
  </b:Source>
  <b:Source>
    <b:Tag>Los14</b:Tag>
    <b:SourceType>JournalArticle</b:SourceType>
    <b:Guid>{51545CE6-A782-4067-A070-4B85229C3716}</b:Guid>
    <b:Author>
      <b:Author>
        <b:NameList>
          <b:Person>
            <b:Last>Lossada</b:Last>
            <b:First>Mariaangelica</b:First>
          </b:Person>
          <b:Person>
            <b:Last>Robles</b:Last>
            <b:First>Miguel</b:First>
          </b:Person>
        </b:NameList>
      </b:Author>
    </b:Author>
    <b:Title>Gestión del mejoramiento continuo como estrategia competitiva de empresas de telecomunicaciones inalambricas.</b:Title>
    <b:JournalName>Revista electrónica arbitrada del centro de investigación de ciencias administrativas y gerenciales (CICAG)</b:JournalName>
    <b:Year>2014</b:Year>
    <b:Pages>pp. 81 - 94</b:Pages>
    <b:Volume>11</b:Volume>
    <b:Issue>2</b:Issue>
    <b:StandardNumber>ISSN 1856-6189</b:StandardNumber>
    <b:URL>http://ojs.urbe.edu/index.php/cicag/article/view/1494/3696</b:URL>
    <b:RefOrder>1136</b:RefOrder>
  </b:Source>
  <b:Source>
    <b:Tag>Par191</b:Tag>
    <b:SourceType>JournalArticle</b:SourceType>
    <b:Guid>{885151CB-ADB2-487E-B9C7-D05309E55074}</b:Guid>
    <b:Title>Diagnóstico de la situación actual de una empresa de servicios de alimentación con respecto al cumpli-miento de los requisitos de la norma ISO 9001:2015 para un sistema de gestión de la calidad.</b:Title>
    <b:JournalName>SIGNOS</b:JournalName>
    <b:Year>2019</b:Year>
    <b:Pages>pp. 99-116</b:Pages>
    <b:Author>
      <b:Author>
        <b:NameList>
          <b:Person>
            <b:Last>Parra</b:Last>
            <b:First>Griselda</b:First>
            <b:Middle>María</b:Middle>
          </b:Person>
          <b:Person>
            <b:Last>De la Ossa</b:Last>
            <b:First>José</b:First>
            <b:Middle>Julián</b:Middle>
          </b:Person>
          <b:Person>
            <b:Last>Ruiz</b:Last>
            <b:First>Stephanie</b:First>
          </b:Person>
        </b:NameList>
      </b:Author>
    </b:Author>
    <b:Volume>11</b:Volume>
    <b:Issue>1</b:Issue>
    <b:DOI>https://doi.org/10.15332/s2145-1389.2019.0001.06</b:DOI>
    <b:StandardNumber>ISSN: 2463-1140</b:StandardNumber>
    <b:YearAccessed>2021</b:YearAccessed>
    <b:MonthAccessed>Mayo</b:MonthAccessed>
    <b:RefOrder>1137</b:RefOrder>
  </b:Source>
  <b:Source>
    <b:Tag>Pér18</b:Tag>
    <b:SourceType>JournalArticle</b:SourceType>
    <b:Guid>{F5BF28D4-234A-4E06-ACAC-5B65F64FD0A0}</b:Guid>
    <b:Title>Evolution of GDP and its impact on the pharmaceutical sector of Ecuador (2007-2016)</b:Title>
    <b:JournalName>JOURNAL OF INTERNATIONAL STUDIES</b:JournalName>
    <b:Year>2018</b:Year>
    <b:Pages>pp. 288-296</b:Pages>
    <b:Author>
      <b:Author>
        <b:NameList>
          <b:Person>
            <b:Last>Pérez</b:Last>
            <b:First>Cristina </b:First>
          </b:Person>
          <b:Person>
            <b:Last>Fernández</b:Last>
            <b:First>Carlos</b:First>
          </b:Person>
          <b:Person>
            <b:Last>Vicente</b:Last>
            <b:First>Méndez</b:First>
          </b:Person>
          <b:Person>
            <b:Last>Méndez</b:Last>
            <b:First>Paola</b:First>
          </b:Person>
          <b:Person>
            <b:Last>Fernández</b:Last>
            <b:First>Angie</b:First>
          </b:Person>
        </b:NameList>
      </b:Author>
    </b:Author>
    <b:Volume>11</b:Volume>
    <b:Issue>1</b:Issue>
    <b:URL>https://www.jois.eu/files/22_513_Ec.pdf</b:URL>
    <b:StandardNumber>ISSN: 2306-3483</b:StandardNumber>
    <b:YearAccessed>2021</b:YearAccessed>
    <b:MonthAccessed>Mayo</b:MonthAccessed>
    <b:RefOrder>1138</b:RefOrder>
  </b:Source>
  <b:Source>
    <b:Tag>MarcadorDePosición106</b:Tag>
    <b:SourceType>JournalArticle</b:SourceType>
    <b:Guid>{7199C88B-AD59-4610-8C8B-D7CC942BDE10}</b:Guid>
    <b:Title>Metodología multicriterio para la selección de proveedores bajo consideraciones de riesgo</b:Title>
    <b:JournalName>Scientia et Technica</b:JournalName>
    <b:Year>2019</b:Year>
    <b:Pages>pp. 232-239</b:Pages>
    <b:Author>
      <b:Author>
        <b:NameList>
          <b:Person>
            <b:Last>Parra-Calderón</b:Last>
            <b:First>Cristian</b:First>
          </b:Person>
          <b:Person>
            <b:Last>Osorio-Gómez</b:Last>
            <b:First>Juan</b:First>
          </b:Person>
          <b:Person>
            <b:Last>Escandón-López</b:Last>
            <b:First>Juan</b:First>
          </b:Person>
        </b:NameList>
      </b:Author>
    </b:Author>
    <b:Volume>24</b:Volume>
    <b:Issue>2</b:Issue>
    <b:DOI>https://doi.org/10.22517/23447214.19681</b:DOI>
    <b:StandardNumber>ISSN: 2344-7214</b:StandardNumber>
    <b:YearAccessed>2021</b:YearAccessed>
    <b:MonthAccessed>Junio</b:MonthAccessed>
    <b:URL>https://www.researchgate.net/publication/343497453_Metodologia_multicriterio_para_la_seleccion_de_proveedores_bajo_consideraciones_de_riesgo</b:URL>
    <b:RefOrder>1139</b:RefOrder>
  </b:Source>
  <b:Source>
    <b:Tag>Lut17</b:Tag>
    <b:SourceType>JournalArticle</b:SourceType>
    <b:Guid>{352128B7-DABC-4CC1-B50D-CDF7F67A38BF}</b:Guid>
    <b:Title>An integrated framework for sustainable supplier selection and evaluation in supply chains</b:Title>
    <b:JournalName>Journal of Cleaner Production</b:JournalName>
    <b:Year>2017</b:Year>
    <b:Pages>pp. 1686-1698</b:Pages>
    <b:Author>
      <b:Author>
        <b:NameList>
          <b:Person>
            <b:Last>Luthra</b:Last>
            <b:First>Sunil</b:First>
          </b:Person>
          <b:Person>
            <b:Last>Govindan</b:Last>
            <b:First>Kannan</b:First>
          </b:Person>
          <b:Person>
            <b:Last>Kannan</b:Last>
            <b:First>Devika</b:First>
          </b:Person>
          <b:Person>
            <b:Last>Kumar Mangla</b:Last>
            <b:First>Sachin</b:First>
          </b:Person>
          <b:Person>
            <b:Last>Prakash Garg</b:Last>
            <b:First>Chandra</b:First>
          </b:Person>
        </b:NameList>
      </b:Author>
    </b:Author>
    <b:Volume>140</b:Volume>
    <b:Issue>3</b:Issue>
    <b:DOI>https://doi.org/10.1016/j.jclepro.2016.09.078</b:DOI>
    <b:StandardNumber>ISSN: 0959-6526</b:StandardNumber>
    <b:YearAccessed>2021</b:YearAccessed>
    <b:MonthAccessed>Junio</b:MonthAccessed>
    <b:RefOrder>1140</b:RefOrder>
  </b:Source>
  <b:Source>
    <b:Tag>Jim18</b:Tag>
    <b:SourceType>JournalArticle</b:SourceType>
    <b:Guid>{642F92B1-78C6-477A-A80A-14357EDED394}</b:Guid>
    <b:Title>La política nacional de medicamentos en el contexto de América Latina</b:Title>
    <b:JournalName>Revista Cubana de Salud Pública</b:JournalName>
    <b:Year>2018</b:Year>
    <b:Pages>398-421</b:Pages>
    <b:Author>
      <b:Author>
        <b:NameList>
          <b:Person>
            <b:Last>Jimenez</b:Last>
            <b:Middle>Guillermo</b:Middle>
            <b:First>Luis</b:First>
          </b:Person>
        </b:NameList>
      </b:Author>
    </b:Author>
    <b:Volume>44</b:Volume>
    <b:Issue>2</b:Issue>
    <b:URL>https://www.redalyc.org/articulo.oa?id=21458813015</b:URL>
    <b:RefOrder>1141</b:RefOrder>
  </b:Source>
  <b:Source>
    <b:Tag>Pac19</b:Tag>
    <b:SourceType>JournalArticle</b:SourceType>
    <b:Guid>{C57E4B14-561E-46B2-A581-785AB0D858AA}</b:Guid>
    <b:Title>Criterios para la selección de proveedores en el sector camaronero ecuatoriano</b:Title>
    <b:JournalName>Espacios</b:JournalName>
    <b:Year>2019</b:Year>
    <b:Pages>p. 7</b:Pages>
    <b:Author>
      <b:Author>
        <b:NameList>
          <b:Person>
            <b:Last>Pacheco Molina</b:Last>
            <b:Middle>Marcelo</b:Middle>
            <b:First>Andrés</b:First>
          </b:Person>
          <b:Person>
            <b:Last>Pupo Francisco</b:Last>
            <b:Middle>Marcos</b:Middle>
            <b:First>Juan</b:First>
          </b:Person>
          <b:Person>
            <b:Last>Parra Ochoa</b:Last>
            <b:Middle>Benito</b:Middle>
            <b:First>Eudoro</b:First>
          </b:Person>
        </b:NameList>
      </b:Author>
    </b:Author>
    <b:Volume>40</b:Volume>
    <b:Issue>14</b:Issue>
    <b:URL>http://www.revistaespacios.com/a19v40n14/a19v40n14p07.pdf</b:URL>
    <b:StandardNumber>ISSN: 0798 1015</b:StandardNumber>
    <b:YearAccessed>2021</b:YearAccessed>
    <b:MonthAccessed>Junio</b:MonthAccessed>
    <b:RefOrder>1142</b:RefOrder>
  </b:Source>
  <b:Source>
    <b:Tag>Béj19</b:Tag>
    <b:SourceType>JournalArticle</b:SourceType>
    <b:Guid>{91A2FF22-346E-45F5-86FC-FA608C1BAA80}</b:Guid>
    <b:Title>La gestión del marketing y la venta al detalle en las farmacias tradicionales del Ecuador</b:Title>
    <b:JournalName>Espacios</b:JournalName>
    <b:Year>2019</b:Year>
    <b:Pages>p.7</b:Pages>
    <b:Author>
      <b:Author>
        <b:NameList>
          <b:Person>
            <b:Last>Béjar</b:Last>
            <b:Middle>F.</b:Middle>
            <b:First>María</b:First>
          </b:Person>
          <b:Person>
            <b:Last>Rea</b:Last>
            <b:Middle>S.</b:Middle>
            <b:First>María</b:First>
          </b:Person>
        </b:NameList>
      </b:Author>
    </b:Author>
    <b:Volume>40</b:Volume>
    <b:Issue>40</b:Issue>
    <b:URL>http://www.revistaespacios.com/a19v40n40/a19v40n40p07.pdf</b:URL>
    <b:StandardNumber>ISSN:0798 1015</b:StandardNumber>
    <b:YearAccessed>2021</b:YearAccessed>
    <b:MonthAccessed>Mayo</b:MonthAccessed>
    <b:RefOrder>1143</b:RefOrder>
  </b:Source>
  <b:Source>
    <b:Tag>Ore21</b:Tag>
    <b:SourceType>JournalArticle</b:SourceType>
    <b:Guid>{A7B76FC9-3A45-4EB0-A954-0C8C1A53A020}</b:Guid>
    <b:Title>Valor de marca en una empresa farmacéutica de la ciudad de Machala: caso farmacias MIA</b:Title>
    <b:JournalName>593 Digital Publisher CEIT</b:JournalName>
    <b:Year>2021</b:Year>
    <b:Pages>pp, 476-485</b:Pages>
    <b:Author>
      <b:Author>
        <b:NameList>
          <b:Person>
            <b:Last>Orellana-Jaramillo</b:Last>
            <b:Middle>Katherine</b:Middle>
            <b:First>Adriana</b:First>
          </b:Person>
          <b:Person>
            <b:Last>Ganchozo-García</b:Last>
            <b:Middle>Pierina</b:Middle>
            <b:First>Karla</b:First>
          </b:Person>
          <b:Person>
            <b:Last>Aguilar-Gálvez</b:Last>
            <b:Middle>Stalin</b:Middle>
            <b:First>William </b:First>
          </b:Person>
        </b:NameList>
      </b:Author>
    </b:Author>
    <b:Volume>6</b:Volume>
    <b:Issue>3</b:Issue>
    <b:DOI>https://doi.org/10.33386/593dp.2021.3.625</b:DOI>
    <b:StandardNumber>ISSN: 2588-0705</b:StandardNumber>
    <b:YearAccessed>2021</b:YearAccessed>
    <b:MonthAccessed>Junio</b:MonthAccessed>
    <b:RefOrder>1144</b:RefOrder>
  </b:Source>
  <b:Source>
    <b:Tag>Peñ18</b:Tag>
    <b:SourceType>JournalArticle</b:SourceType>
    <b:Guid>{94EC487A-D28D-4F02-A55D-22DF213C5919}</b:Guid>
    <b:Title>Procedimiento de Evaluación y Selección de Proveedores Basado en el Proceso de Análisis Jerárquico y en un Modelo de Programación Lineal Entera Mixta</b:Title>
    <b:JournalName>Revista Ingeniería</b:JournalName>
    <b:Year>2018</b:Year>
    <b:Pages>pp. 230-251</b:Pages>
    <b:Author>
      <b:Author>
        <b:NameList>
          <b:Person>
            <b:Last>Peña Florez</b:Last>
            <b:First>Luis</b:First>
            <b:Middle>Alfonso</b:Middle>
          </b:Person>
          <b:Person>
            <b:Last>Rodríguez-Rojas</b:Last>
            <b:First>Yuber</b:First>
            <b:Middle>Liliana</b:Middle>
          </b:Person>
        </b:NameList>
      </b:Author>
    </b:Author>
    <b:Volume>23</b:Volume>
    <b:Issue>3</b:Issue>
    <b:URL>http://www.scielo.org.co/pdf/inge/v23n3/0121-750X-inge-23-03-00230.pdf</b:URL>
    <b:DOI>10.14483/23448393.13316</b:DOI>
    <b:StandardNumber>ISSN: 2344-8393</b:StandardNumber>
    <b:YearAccessed>2021</b:YearAccessed>
    <b:MonthAccessed>Junio</b:MonthAccessed>
    <b:RefOrder>1145</b:RefOrder>
  </b:Source>
  <b:Source>
    <b:Tag>MarcadorDePosición107</b:Tag>
    <b:SourceType>JournalArticle</b:SourceType>
    <b:Guid>{A2743FA1-4230-45E4-9578-0FB9E2C52C98}</b:Guid>
    <b:Title>Procedimiento para la gestión por procesos: métodos y herramientas de apoyo</b:Title>
    <b:JournalName>Ingeniare. Revista chilena de ingeniería</b:JournalName>
    <b:Year>2019</b:Year>
    <b:Pages>pp. 328-342</b:Pages>
    <b:Author>
      <b:Author>
        <b:NameList>
          <b:Person>
            <b:Last>Medina León</b:Last>
            <b:First>Alberto</b:First>
          </b:Person>
          <b:Person>
            <b:Last>Nogueira Rivera</b:Last>
            <b:First>Dianelys</b:First>
          </b:Person>
          <b:Person>
            <b:Last>Hernández-Nariño</b:Last>
            <b:First>Arialys</b:First>
          </b:Person>
          <b:Person>
            <b:Last>Comas Rodríguez</b:Last>
            <b:First>Raúl</b:First>
          </b:Person>
        </b:NameList>
      </b:Author>
    </b:Author>
    <b:Volume>27</b:Volume>
    <b:Issue>2</b:Issue>
    <b:URL>https://www.scielo.cl/scielo.php?script=sci_arttext&amp;pid=S0718-33052019000200328&amp;lng=en&amp;nrm=iso&amp;tlng=en</b:URL>
    <b:DOI>http://dx.doi.org/10.4067/S0718-33052019000200328</b:DOI>
    <b:StandardNumber>ISSN: 0718-3305</b:StandardNumber>
    <b:YearAccessed>2021</b:YearAccessed>
    <b:MonthAccessed>Junio</b:MonthAccessed>
    <b:RefOrder>1146</b:RefOrder>
  </b:Source>
  <b:Source>
    <b:Tag>Oso13</b:Tag>
    <b:SourceType>JournalArticle</b:SourceType>
    <b:Guid>{2C6C123C-540E-428D-BC85-339F9504835A}</b:Guid>
    <b:Title>SELECCIÓN DE PROVEEDORES USANDO EL DESPLIEGUE DE LA FUNCIÓN DE CALIDAD DIFUSA</b:Title>
    <b:JournalName>Revista EIA</b:JournalName>
    <b:Year>2013</b:Year>
    <b:Pages>pp. 73-83</b:Pages>
    <b:Author>
      <b:Author>
        <b:NameList>
          <b:Person>
            <b:Last>Osorio</b:Last>
            <b:Middle>Carlos</b:Middle>
            <b:First>Juan</b:First>
          </b:Person>
          <b:Person>
            <b:Last>Arango</b:Last>
            <b:Middle>Carolina </b:Middle>
            <b:First>Diana</b:First>
          </b:Person>
          <b:Person>
            <b:Last>Ruales</b:Last>
            <b:Middle>Ernesto</b:Middle>
            <b:First>Christian</b:First>
          </b:Person>
        </b:NameList>
      </b:Author>
    </b:Author>
    <b:Volume>8</b:Volume>
    <b:Issue>15</b:Issue>
    <b:DOI>http://dx.doi.org/10.24050/reia.v8i15.247</b:DOI>
    <b:StandardNumber>ISSN: 1794-1237</b:StandardNumber>
    <b:YearAccessed>2021</b:YearAccessed>
    <b:MonthAccessed>Junio</b:MonthAccessed>
    <b:RefOrder>1147</b:RefOrder>
  </b:Source>
  <b:Source>
    <b:Tag>Liz16</b:Tag>
    <b:SourceType>JournalArticle</b:SourceType>
    <b:Guid>{030C2041-BA7B-43E7-84E7-B2AA44E6784E}</b:Guid>
    <b:Title>La gestión de la calidad en Perú: un estudio de la norma ISO 9001, sus beneficios y los principales cambios en la versión 2015</b:Title>
    <b:JournalName>Universidad &amp; Empresa</b:JournalName>
    <b:Year>2016</b:Year>
    <b:Pages>pp. 33-54</b:Pages>
    <b:Author>
      <b:Author>
        <b:NameList>
          <b:Person>
            <b:Last>Lizarzaburu</b:Last>
            <b:First>Edmundo</b:First>
          </b:Person>
        </b:NameList>
      </b:Author>
    </b:Author>
    <b:Volume>18</b:Volume>
    <b:Issue>30</b:Issue>
    <b:DOI>http://dx.doi.org/10.12804/rev.univ.empresa.30.2016.02</b:DOI>
    <b:StandardNumber>ISSN: 124-4639 </b:StandardNumber>
    <b:YearAccessed>2021</b:YearAccessed>
    <b:MonthAccessed>Junio</b:MonthAccessed>
    <b:RefOrder>1148</b:RefOrder>
  </b:Source>
  <b:Source>
    <b:Tag>Cru17</b:Tag>
    <b:SourceType>JournalArticle</b:SourceType>
    <b:Guid>{56961909-8F4F-41DE-A32A-2932BC21462B}</b:Guid>
    <b:Title>Sistema de gestión ISO 9001-2015: Técnicas y herramientas de ingeniería de calidad para su implementación.</b:Title>
    <b:JournalName>Revista Ingeniería, Investigación y Desarrollo</b:JournalName>
    <b:Year>2017</b:Year>
    <b:Pages>pp. 59-69</b:Pages>
    <b:Author>
      <b:Author>
        <b:NameList>
          <b:Person>
            <b:Last>Cruz Medina</b:Last>
            <b:Middle>Liliana</b:Middle>
            <b:First>Fanny</b:First>
          </b:Person>
          <b:Person>
            <b:Last>López Díaz</b:Last>
            <b:First>Andrea </b:First>
          </b:Person>
          <b:Person>
            <b:Last>Ruiz Cardenas</b:Last>
            <b:First>Consuelo </b:First>
          </b:Person>
        </b:NameList>
      </b:Author>
    </b:Author>
    <b:Volume>17</b:Volume>
    <b:Issue>1</b:Issue>
    <b:DOI>https://doi.org/10.19053/1900771X.v17.n1.2017.5306</b:DOI>
    <b:StandardNumber>ISSN: 2422-4324</b:StandardNumber>
    <b:YearAccessed>2021</b:YearAccessed>
    <b:MonthAccessed>Junio</b:MonthAccessed>
    <b:RefOrder>1149</b:RefOrder>
  </b:Source>
  <b:Source>
    <b:Tag>Ben18</b:Tag>
    <b:SourceType>JournalArticle</b:SourceType>
    <b:Guid>{03A5D13A-B6CE-4D5E-9B9D-89CE06E262D0}</b:Guid>
    <b:Title>La ISO 9001 y la Administración de la Calidad Total en las Empresas Peruanas</b:Title>
    <b:JournalName>Revista universidad y empresa</b:JournalName>
    <b:Year>2018</b:Year>
    <b:Pages>pp. 281-312</b:Pages>
    <b:Author>
      <b:Author>
        <b:NameList>
          <b:Person>
            <b:Last>Benzaquen</b:Last>
            <b:First>Jorge</b:First>
          </b:Person>
        </b:NameList>
      </b:Author>
    </b:Author>
    <b:Volume>20</b:Volume>
    <b:Issue>35</b:Issue>
    <b:DOI>http://dx.doi.org/10.12804/revistas.urosario.edu.co/empresa/a.6056</b:DOI>
    <b:StandardNumber>ISSN: 124-4639 </b:StandardNumber>
    <b:YearAccessed>2021</b:YearAccessed>
    <b:MonthAccessed>Junio</b:MonthAccessed>
    <b:RefOrder>1150</b:RefOrder>
  </b:Source>
  <b:Source>
    <b:Tag>Mac18</b:Tag>
    <b:SourceType>JournalArticle</b:SourceType>
    <b:Guid>{B079EBBF-2225-4DDE-8897-99E79C441FDD}</b:Guid>
    <b:Title>¿La herramienta AGIS contribuye con ISO 9001:2015; a la mejora continua de servicios en las organizaciones?</b:Title>
    <b:JournalName>Revista Espacios</b:JournalName>
    <b:Year>2018</b:Year>
    <b:Pages>p. 17</b:Pages>
    <b:Author>
      <b:Author>
        <b:NameList>
          <b:Person>
            <b:Last>Macas-Ruiz</b:Last>
            <b:Middle>Maria</b:Middle>
            <b:First>Estela </b:First>
          </b:Person>
          <b:Person>
            <b:Last>Bustamante-Granda</b:Last>
            <b:Middle>Xavier</b:Middle>
            <b:First>Wayner</b:First>
          </b:Person>
          <b:Person>
            <b:Last>Romero-Pazmiño</b:Last>
            <b:First>Monica</b:First>
          </b:Person>
        </b:NameList>
      </b:Author>
    </b:Author>
    <b:Volume>39</b:Volume>
    <b:Issue>33</b:Issue>
    <b:URL>http://w.revistaespacios.com/a18v39n33/a18v39n33p17.pdf</b:URL>
    <b:StandardNumber>ISSN: 0798 1015</b:StandardNumber>
    <b:YearAccessed>2021</b:YearAccessed>
    <b:MonthAccessed>Junio</b:MonthAccessed>
    <b:RefOrder>1151</b:RefOrder>
  </b:Source>
  <b:Source>
    <b:Tag>Gal21</b:Tag>
    <b:SourceType>JournalArticle</b:SourceType>
    <b:Guid>{2B903554-E47B-4935-9D10-F8B3991F7D3B}</b:Guid>
    <b:Title>Evaluación de la gestión de proveedores en la Universidad de Holguín</b:Title>
    <b:JournalName>REVISTA RECUS</b:JournalName>
    <b:Year>2021</b:Year>
    <b:Pages>pp. 54-63</b:Pages>
    <b:Author>
      <b:Author>
        <b:NameList>
          <b:Person>
            <b:Last>Gallardo Cannavacciuolo</b:Last>
            <b:Middle>Manuel</b:Middle>
            <b:First>Ricardo</b:First>
          </b:Person>
          <b:Person>
            <b:Last>Martínez Hernández</b:Last>
            <b:First>Helens</b:First>
          </b:Person>
          <b:Person>
            <b:Last>Leyva Zaragoza</b:Last>
            <b:First>Leticia </b:First>
          </b:Person>
        </b:NameList>
      </b:Author>
    </b:Author>
    <b:Volume>6</b:Volume>
    <b:Issue>1</b:Issue>
    <b:URL>https://revistas.utm.edu.ec/index.php/Recus/article/view/2823/3362</b:URL>
    <b:StandardNumber>ISSN: 2528-8075</b:StandardNumber>
    <b:YearAccessed>2021</b:YearAccessed>
    <b:MonthAccessed>Junio</b:MonthAccessed>
    <b:RefOrder>1152</b:RefOrder>
  </b:Source>
  <b:Source>
    <b:Tag>Cha16</b:Tag>
    <b:SourceType>JournalArticle</b:SourceType>
    <b:Guid>{803117CB-6466-42F9-9428-8A1EDE0DA8AD}</b:Guid>
    <b:Title>El riesgo inherente al proveedor como criterio preventivo en la contratación pública</b:Title>
    <b:JournalName>Revista Derecho del Estado</b:JournalName>
    <b:Year>2016</b:Year>
    <b:Pages>pp. 95-125</b:Pages>
    <b:Author>
      <b:Author>
        <b:NameList>
          <b:Person>
            <b:Last>Charris Benedetti</b:Last>
            <b:First>Juan</b:First>
            <b:Middle>Pablo</b:Middle>
          </b:Person>
          <b:Person>
            <b:Last>Llamas Foliaco</b:Last>
            <b:First>Alfonso</b:First>
            <b:Middle>Carlos</b:Middle>
          </b:Person>
        </b:NameList>
      </b:Author>
    </b:Author>
    <b:Issue>37</b:Issue>
    <b:URL>https://revistas.uexternado.edu.co/index.php/derest/article/view/4778</b:URL>
    <b:StandardNumber>ISSN: 2346-2051</b:StandardNumber>
    <b:YearAccessed>2021</b:YearAccessed>
    <b:MonthAccessed>Junio</b:MonthAccessed>
    <b:RefOrder>1153</b:RefOrder>
  </b:Source>
  <b:Source>
    <b:Tag>Nar19</b:Tag>
    <b:SourceType>JournalArticle</b:SourceType>
    <b:Guid>{C78F3C67-C445-4672-8865-CDFF3F9D2605}</b:Guid>
    <b:Title>Gestión de la responsabilidad social en las PYMES del Ecuador: Caso empresa Zerimar Cía. Ltda.</b:Title>
    <b:JournalName>Polo del Conocimiento</b:JournalName>
    <b:Year>2019</b:Year>
    <b:Pages>pp. 131-146</b:Pages>
    <b:Author>
      <b:Author>
        <b:NameList>
          <b:Person>
            <b:Last>Narváez-Peña</b:Last>
            <b:First>Maria</b:First>
            <b:Middle>Fernanda</b:Middle>
          </b:Person>
        </b:NameList>
      </b:Author>
    </b:Author>
    <b:Volume>4</b:Volume>
    <b:Issue>8</b:Issue>
    <b:DOI>http://dx.doi.org/10.23857/pc.v4i8.1048</b:DOI>
    <b:StandardNumber>ISSN: 2550 -682X</b:StandardNumber>
    <b:YearAccessed>2021</b:YearAccessed>
    <b:MonthAccessed>Junio</b:MonthAccessed>
    <b:RefOrder>1154</b:RefOrder>
  </b:Source>
  <b:Source>
    <b:Tag>Men16</b:Tag>
    <b:SourceType>JournalArticle</b:SourceType>
    <b:Guid>{B5BD7CE3-8B4F-4D84-8B9D-5C7C307815EF}</b:Guid>
    <b:Author>
      <b:Author>
        <b:NameList>
          <b:Person>
            <b:Last>Mendoza Rivadeneira</b:Last>
            <b:First>María</b:First>
            <b:Middle>Teresa</b:Middle>
          </b:Person>
          <b:Person>
            <b:Last>Cevallos Polanco</b:Last>
            <b:First>Norman</b:First>
          </b:Person>
        </b:NameList>
      </b:Author>
    </b:Author>
    <b:Title>El abastecimiento estratégico y su aplicación en las empresas</b:Title>
    <b:JournalName>Saber Ciencia y Libertad</b:JournalName>
    <b:Year>2016</b:Year>
    <b:Pages>pp.129-140</b:Pages>
    <b:Volume>11</b:Volume>
    <b:Issue>1</b:Issue>
    <b:DOI>http://dx.doi.org/10.22525/sabcliber.2016v11n1.129140</b:DOI>
    <b:StandardNumber>ISSN: 1794-7154   </b:StandardNumber>
    <b:YearAccessed>2021</b:YearAccessed>
    <b:MonthAccessed>Junio</b:MonthAccessed>
    <b:RefOrder>1155</b:RefOrder>
  </b:Source>
  <b:Source>
    <b:Tag>Fon19</b:Tag>
    <b:SourceType>JournalArticle</b:SourceType>
    <b:Guid>{F3558E1C-B4A8-4042-B320-AF857B077617}</b:Guid>
    <b:Author>
      <b:Author>
        <b:NameList>
          <b:Person>
            <b:Last>Fontalvo-Herrera</b:Last>
            <b:First>Tomás</b:First>
          </b:Person>
          <b:Person>
            <b:Last>De la Hoz-Granadillo</b:Last>
            <b:First>Efraín</b:First>
          </b:Person>
          <b:Person>
            <b:Last>Mendoza-Mendoza</b:Last>
            <b:First>Adel</b:First>
          </b:Person>
        </b:NameList>
      </b:Author>
    </b:Author>
    <b:Title>Los Procesos Logísticos y La Administración de la Cadena de Suministro</b:Title>
    <b:JournalName>Saber Ciencia y Libertad</b:JournalName>
    <b:Year>2019</b:Year>
    <b:Pages>pp.102-112</b:Pages>
    <b:Volume>14</b:Volume>
    <b:Issue>2</b:Issue>
    <b:DOI>https://doi.org/10.18041/2382-3240/saber.2019v14n2.5880</b:DOI>
    <b:StandardNumber>ISSN: 2382-3240</b:StandardNumber>
    <b:YearAccessed>2021</b:YearAccessed>
    <b:MonthAccessed>Junio</b:MonthAccessed>
    <b:RefOrder>1156</b:RefOrder>
  </b:Source>
  <b:Source>
    <b:Tag>Per20</b:Tag>
    <b:SourceType>JournalArticle</b:SourceType>
    <b:Guid>{2CCF2A72-3286-455C-99B8-564427FED18E}</b:Guid>
    <b:Title>Dirección estratégica para la innovación en pequeñas y medianas empresas de la ciudad de Barranquilla –Colombia</b:Title>
    <b:JournalName>Revista Venezolana de Gerencia</b:JournalName>
    <b:Year>2020</b:Year>
    <b:Pages>pp. 229-243</b:Pages>
    <b:Author>
      <b:Author>
        <b:NameList>
          <b:Person>
            <b:Last>Peralta Miranda</b:Last>
            <b:First>Pabla</b:First>
          </b:Person>
          <b:Person>
            <b:Last>Cervantes Atia</b:Last>
            <b:First>Viviana</b:First>
          </b:Person>
          <b:Person>
            <b:Last>Salgado Herrera</b:Last>
            <b:First>Raquel</b:First>
          </b:Person>
          <b:Person>
            <b:Last>Espinoza Pérez</b:Last>
            <b:First>Alba</b:First>
          </b:Person>
        </b:NameList>
      </b:Author>
    </b:Author>
    <b:Volume>25</b:Volume>
    <b:Issue>89</b:Issue>
    <b:URL>https://www.redalyc.org/journal/290/29062641016/html/</b:URL>
    <b:StandardNumber>ISSN: 1315-9984</b:StandardNumber>
    <b:YearAccessed>2021</b:YearAccessed>
    <b:MonthAccessed>Junio</b:MonthAccessed>
    <b:RefOrder>1157</b:RefOrder>
  </b:Source>
  <b:Source>
    <b:Tag>Tor19</b:Tag>
    <b:SourceType>JournalArticle</b:SourceType>
    <b:Guid>{8B658B82-059D-4BEB-974A-5785693289A8}</b:Guid>
    <b:Title>La gestión del entorno comercial y su relación con la calidad del servicio al cliente en el mercado farmacéutico, Loja – Ecuador</b:Title>
    <b:JournalName>Dominio de las Ciencias</b:JournalName>
    <b:Year>2019</b:Year>
    <b:Pages>pp. 136-159</b:Pages>
    <b:Author>
      <b:Author>
        <b:NameList>
          <b:Person>
            <b:Last>Toral-Tinitana</b:Last>
            <b:First>Rocío</b:First>
          </b:Person>
          <b:Person>
            <b:Last>Gallardo</b:Last>
            <b:First>Ney</b:First>
          </b:Person>
          <b:Person>
            <b:Last>Pasaca Mora</b:Last>
            <b:First>Manuel</b:First>
          </b:Person>
          <b:Person>
            <b:Last>Cevallos Cueva</b:Last>
            <b:First>Carmen</b:First>
          </b:Person>
        </b:NameList>
      </b:Author>
    </b:Author>
    <b:Volume>5</b:Volume>
    <b:Issue>1</b:Issue>
    <b:DOI>http://dx.doi.org/10.23857/dc.v5i1.853</b:DOI>
    <b:StandardNumber>ISNN: 2477-8818</b:StandardNumber>
    <b:YearAccessed>2021</b:YearAccessed>
    <b:MonthAccessed>Junio</b:MonthAccessed>
    <b:URL>https://dominiodelasciencias.com/ojs/index.php/es/article/view/853</b:URL>
    <b:RefOrder>1158</b:RefOrder>
  </b:Source>
  <b:Source>
    <b:Tag>Ace19</b:Tag>
    <b:SourceType>JournalArticle</b:SourceType>
    <b:Guid>{042EFC4B-7DB9-493F-A808-E356CBC82FE6}</b:Guid>
    <b:Title>Formación logística en Cuba: desafíos y perspectivas</b:Title>
    <b:JournalName>Universidad y Sociedad</b:JournalName>
    <b:Year>2019</b:Year>
    <b:Pages>pp.172-182.</b:Pages>
    <b:Author>
      <b:Author>
        <b:NameList>
          <b:Person>
            <b:Last>Acevedo Urquiaga</b:Last>
            <b:First>Ana</b:First>
          </b:Person>
          <b:Person>
            <b:Last>Sablón Cossío</b:Last>
            <b:First>Neyfe</b:First>
          </b:Person>
          <b:Person>
            <b:Last>Acevedo Suárez</b:Last>
            <b:First>José</b:First>
          </b:Person>
          <b:Person>
            <b:Last>Inés Gómez</b:Last>
            <b:First>Martha</b:First>
          </b:Person>
          <b:Person>
            <b:Last>López Joy</b:Last>
            <b:First>Teresita</b:First>
          </b:Person>
        </b:NameList>
      </b:Author>
    </b:Author>
    <b:Volume>11</b:Volume>
    <b:Issue>1</b:Issue>
    <b:URL>http://scielo.sld.cu/pdf/rus/v11n1/2218-3620-rus-11-01-172.pdf</b:URL>
    <b:StandardNumber>ISSN: : 2218-3620</b:StandardNumber>
    <b:YearAccessed>2021</b:YearAccessed>
    <b:MonthAccessed>Junio</b:MonthAccessed>
    <b:RefOrder>1159</b:RefOrder>
  </b:Source>
  <b:Source>
    <b:Tag>Día18</b:Tag>
    <b:SourceType>JournalArticle</b:SourceType>
    <b:Guid>{955CAEC4-D026-49DE-8F1D-AEB3AD62109F}</b:Guid>
    <b:Title>Gestión estratégica de proveedores para fortalecer el proceso de compras en la línea de negocios de reparación y mantenimiento de embarcaciones en COTECMAR</b:Title>
    <b:JournalName>REVISTA CIENTÍFICA ANFIBIOS</b:JournalName>
    <b:Year>2018</b:Year>
    <b:Author>
      <b:Author>
        <b:NameList>
          <b:Person>
            <b:Last>Díaz</b:Last>
            <b:First>Lina</b:First>
            <b:Middle>María</b:Middle>
          </b:Person>
        </b:NameList>
      </b:Author>
    </b:Author>
    <b:Volume>1</b:Volume>
    <b:Issue>2</b:Issue>
    <b:DOI>https://doi.org/10.37979/afb.2018v1n2.29</b:DOI>
    <b:Pages>pp. 44-52</b:Pages>
    <b:StandardNumber>ISSN: 2711-0532</b:StandardNumber>
    <b:YearAccessed>2021</b:YearAccessed>
    <b:MonthAccessed>Junio</b:MonthAccessed>
    <b:RefOrder>1160</b:RefOrder>
  </b:Source>
  <b:Source>
    <b:Tag>MarcadorDePosición108</b:Tag>
    <b:SourceType>JournalArticle</b:SourceType>
    <b:Guid>{5BE0D96A-7607-4ED2-92A0-E852D04FDB4E}</b:Guid>
    <b:Title>Metodología para la evaluación de proveedores. Caso de estudio: Empresa Especializada Importadora, Exportadora y Distribuidora para la Ciencia y la Técnica (EMIDICT)</b:Title>
    <b:JournalName>Revista espacios</b:JournalName>
    <b:Year>2018</b:Year>
    <b:Pages>p. 24</b:Pages>
    <b:Author>
      <b:Author>
        <b:NameList>
          <b:Person>
            <b:Last>Ortiz Torres</b:Last>
            <b:First>Maritza</b:First>
          </b:Person>
          <b:Person>
            <b:Last>Márquez Sánchez</b:Last>
            <b:First>Fidel</b:First>
          </b:Person>
          <b:Person>
            <b:Last>Oramas Santos</b:Last>
            <b:First>Onailis</b:First>
          </b:Person>
          <b:Person>
            <b:Last>Marrero Ancizar</b:Last>
            <b:First>Yaimary</b:First>
          </b:Person>
        </b:NameList>
      </b:Author>
    </b:Author>
    <b:Volume>39</b:Volume>
    <b:Issue>27</b:Issue>
    <b:URL>http://www.revistaespacios.com/a18v39n27/18392724.html</b:URL>
    <b:StandardNumber>ISNN: 0798-1015</b:StandardNumber>
    <b:YearAccessed>2021</b:YearAccessed>
    <b:MonthAccessed>Junio</b:MonthAccessed>
    <b:RefOrder>1161</b:RefOrder>
  </b:Source>
  <b:Source>
    <b:Tag>Urb18</b:Tag>
    <b:SourceType>JournalArticle</b:SourceType>
    <b:Guid>{B96F81FB-36FA-4ADB-B8BF-AB762EB739CD}</b:Guid>
    <b:Title>Evaluación del desempeño de un aliado estratégico para operación logística</b:Title>
    <b:JournalName>Scientia Et Technica</b:JournalName>
    <b:Year>2018</b:Year>
    <b:Pages>pp. 511-518</b:Pages>
    <b:Author>
      <b:Author>
        <b:NameList>
          <b:Person>
            <b:Last>Urbano</b:Last>
            <b:First>Luz</b:First>
            <b:Middle>Carime</b:Middle>
          </b:Person>
          <b:Person>
            <b:Last>Muñoz</b:Last>
            <b:First>Luz</b:First>
            <b:Middle>Stella</b:Middle>
          </b:Person>
          <b:Person>
            <b:Last>Osorio</b:Last>
            <b:First>Juan</b:First>
            <b:Middle>Carlos</b:Middle>
          </b:Person>
        </b:NameList>
      </b:Author>
    </b:Author>
    <b:Volume>23</b:Volume>
    <b:Issue>4</b:Issue>
    <b:URL>https://www.redalyc.org/articulo.oa?id=84959055010</b:URL>
    <b:StandardNumber>ISSN: 0122-1701</b:StandardNumber>
    <b:YearAccessed>2021</b:YearAccessed>
    <b:MonthAccessed>Junio</b:MonthAccessed>
    <b:RefOrder>1162</b:RefOrder>
  </b:Source>
  <b:Source>
    <b:Tag>Góm16</b:Tag>
    <b:SourceType>JournalArticle</b:SourceType>
    <b:Guid>{B92784E3-AEFE-4B8C-BE7B-D756C2E8EEF1}</b:Guid>
    <b:Title>Selección de proveedores en la minería de oro con lógica difusa</b:Title>
    <b:JournalName>Revista Venezolana de Gerencia</b:JournalName>
    <b:Year>2016</b:Year>
    <b:Pages>pp. 530-548</b:Pages>
    <b:Author>
      <b:Author>
        <b:NameList>
          <b:Person>
            <b:Last>Gómez-Montoya</b:Last>
            <b:First>Rodrigo</b:First>
          </b:Person>
          <b:Person>
            <b:Last>Cano</b:Last>
            <b:Middle>Alejandro</b:Middle>
            <b:First>Jose</b:First>
          </b:Person>
          <b:Person>
            <b:Last>Campo Tibacuy</b:Last>
            <b:First>Emiro Antonio</b:First>
          </b:Person>
        </b:NameList>
      </b:Author>
    </b:Author>
    <b:Volume>75</b:Volume>
    <b:URL>https://www.researchgate.net/publication/312385396_Seleccion_de_proveedores_en_la_mineria_de_oro_con_logica_difusa</b:URL>
    <b:DOI>10.31876/revista.v21i75.21897</b:DOI>
    <b:StandardNumber>ISSN: 1315-9984</b:StandardNumber>
    <b:YearAccessed>2021</b:YearAccessed>
    <b:MonthAccessed>Junio</b:MonthAccessed>
    <b:RefOrder>1163</b:RefOrder>
  </b:Source>
  <b:Source>
    <b:Tag>Aíd21</b:Tag>
    <b:SourceType>JournalArticle</b:SourceType>
    <b:Guid>{4931D743-6A68-4CE7-905A-DF65435487B9}</b:Guid>
    <b:Author>
      <b:Author>
        <b:NameList>
          <b:Person>
            <b:Last>Mortara</b:Last>
            <b:First>Verónica</b:First>
          </b:Person>
          <b:Person>
            <b:Last>Tabone</b:Last>
            <b:First>Luciana</b:First>
          </b:Person>
        </b:NameList>
      </b:Author>
    </b:Author>
    <b:Title>Selección de proveedores bajo una estrategia de abastecimiento múltiple en una empresa metalmecánica</b:Title>
    <b:JournalName>Ingeniería Industrial</b:JournalName>
    <b:Year>2021</b:Year>
    <b:Pages>pp. 91-112</b:Pages>
    <b:Issue>40</b:Issue>
    <b:DOI>https://doi.org/10.26439/ing.ind2021.n40.4809</b:DOI>
    <b:StandardNumber>ISSN:2523-6326</b:StandardNumber>
    <b:YearAccessed>2021</b:YearAccessed>
    <b:MonthAccessed>Junio</b:MonthAccessed>
    <b:RefOrder>1164</b:RefOrder>
  </b:Source>
  <b:Source>
    <b:Tag>Wan17</b:Tag>
    <b:SourceType>JournalArticle</b:SourceType>
    <b:Guid>{9E382E24-8104-4B2D-AAF0-DB7952ED148C}</b:Guid>
    <b:Author>
      <b:Author>
        <b:NameList>
          <b:Person>
            <b:Last>Wan</b:Last>
            <b:First>S.</b:First>
          </b:Person>
          <b:Person>
            <b:Last>Xu</b:Last>
            <b:First>G.</b:First>
          </b:Person>
          <b:Person>
            <b:Last>Dong</b:Last>
            <b:First>J</b:First>
          </b:Person>
        </b:NameList>
      </b:Author>
    </b:Author>
    <b:Title>Supplier selection using ANP and ELECTRE II in interval 2-tuple linguistic environment</b:Title>
    <b:JournalName>Information Sciences</b:JournalName>
    <b:Year>2017</b:Year>
    <b:Pages>pp. 19-38</b:Pages>
    <b:Volume>385-386</b:Volume>
    <b:DOI>https://doi.org/10.1016/j.ins.2016.12.032</b:DOI>
    <b:StandardNumber>ISNN:0020-0255</b:StandardNumber>
    <b:YearAccessed>2021</b:YearAccessed>
    <b:MonthAccessed>Junio</b:MonthAccessed>
    <b:RefOrder>1165</b:RefOrder>
  </b:Source>
  <b:Source>
    <b:Tag>MarcadorDePosición109</b:Tag>
    <b:SourceType>JournalArticle</b:SourceType>
    <b:Guid>{C663BE65-890F-48A2-A1B5-98AED3C0BD13}</b:Guid>
    <b:Author>
      <b:Author>
        <b:NameList>
          <b:Person>
            <b:Last>Bonilla</b:Last>
            <b:First>Víctor</b:First>
            <b:Middle>Enrique</b:Middle>
          </b:Person>
          <b:Person>
            <b:Last>Chavez Amarillo</b:Last>
            <b:First>Ana</b:First>
            <b:Middle>Yulieth</b:Middle>
          </b:Person>
          <b:Person>
            <b:Last>Calderón</b:Last>
            <b:First>Jorge</b:First>
            <b:Middle>Armando</b:Middle>
          </b:Person>
        </b:NameList>
      </b:Author>
    </b:Author>
    <b:Title>El valor agregado de la planificación estratégica en la cadena de suministro</b:Title>
    <b:JournalName>Journal of business and entrepreneurial studies</b:JournalName>
    <b:Year>2020</b:Year>
    <b:Pages>pp. 1-20</b:Pages>
    <b:Volume>4</b:Volume>
    <b:Issue>3</b:Issue>
    <b:URL>http://journalbusinesses.com/index.php/revista/article/view/118</b:URL>
    <b:StandardNumber>ISSN: 2576-0971</b:StandardNumber>
    <b:YearAccessed>2021</b:YearAccessed>
    <b:MonthAccessed>Junio</b:MonthAccessed>
    <b:RefOrder>1166</b:RefOrder>
  </b:Source>
  <b:Source>
    <b:Tag>Mur17</b:Tag>
    <b:SourceType>JournalArticle</b:SourceType>
    <b:Guid>{CC7B1BF4-6A0E-480D-AD8F-FA68FA0365A1}</b:Guid>
    <b:Title>Una propuesta: Criterios de Responsabilidad Social Empresarial para seleccionar proveedores del sector hotelero en Santa Marta Colombia</b:Title>
    <b:JournalName>Revista Loginn</b:JournalName>
    <b:Year>2017</b:Year>
    <b:Author>
      <b:Author>
        <b:NameList>
          <b:Person>
            <b:Last>Murillo</b:Last>
            <b:First>Otoniel</b:First>
          </b:Person>
        </b:NameList>
      </b:Author>
    </b:Author>
    <b:Volume>1</b:Volume>
    <b:Issue>1</b:Issue>
    <b:URL>http://revistas.sena.edu.co/index.php/LOG/article/view/1017/1119</b:URL>
    <b:Pages>pp. 6-14</b:Pages>
    <b:StandardNumber>ISNN: 2590-7441</b:StandardNumber>
    <b:YearAccessed>2021</b:YearAccessed>
    <b:MonthAccessed>Junio</b:MonthAccessed>
    <b:RefOrder>1167</b:RefOrder>
  </b:Source>
  <b:Source>
    <b:Tag>Pon19</b:Tag>
    <b:SourceType>JournalArticle</b:SourceType>
    <b:Guid>{B18215BB-8C07-4328-8BF6-AD0DEC4D78F2}</b:Guid>
    <b:Title>Prevalencia de automedicación: estudio exploratorio en la provincia de Manabí, Ecuador</b:Title>
    <b:JournalName>DOMINIO DE LAS CIENCIAS</b:JournalName>
    <b:Year>2019</b:Year>
    <b:Pages>pp. 3-26</b:Pages>
    <b:Author>
      <b:Author>
        <b:NameList>
          <b:Person>
            <b:Last>Ponce-Zea</b:Last>
            <b:Middle>Eduardo</b:Middle>
            <b:First>Jorge</b:First>
          </b:Person>
          <b:Person>
            <b:Last>Ponce-Zea</b:Last>
            <b:Middle>Mercedes</b:Middle>
            <b:First>Diana</b:First>
          </b:Person>
          <b:Person>
            <b:Last>Rivadeneira-Cando</b:Last>
            <b:Middle>Daniel</b:Middle>
            <b:First>Jorge</b:First>
          </b:Person>
        </b:NameList>
      </b:Author>
    </b:Author>
    <b:Volume>5</b:Volume>
    <b:Issue>3</b:Issue>
    <b:DOI>https://dx.doi.org/10.23857/dc.v5i3.922</b:DOI>
    <b:StandardNumber>ISSN: 2477-8818</b:StandardNumber>
    <b:YearAccessed>2021</b:YearAccessed>
    <b:MonthAccessed>Junio</b:MonthAccessed>
    <b:URL>https://dominiodelasciencias.com/ojs/index.php/es/article/view/922</b:URL>
    <b:RefOrder>1168</b:RefOrder>
  </b:Source>
  <b:Source>
    <b:Tag>Gas12</b:Tag>
    <b:SourceType>JournalArticle</b:SourceType>
    <b:Guid>{F88909BF-0922-44A9-A9BC-F2DF9E4D6AE0}</b:Guid>
    <b:Title>El rol de la farmacia comunitaria en salud pública. (El caso del farmacéutico ante las toxicomanías).</b:Title>
    <b:JournalName>Farmacéuticos Comunitarios</b:JournalName>
    <b:Year>2012</b:Year>
    <b:Pages>78-83</b:Pages>
    <b:Author>
      <b:Author>
        <b:NameList>
          <b:Person>
            <b:Last>Gastelurrutia</b:Last>
            <b:Middle>Ángel</b:Middle>
            <b:First>Miguel</b:First>
          </b:Person>
        </b:NameList>
      </b:Author>
    </b:Author>
    <b:Volume>4</b:Volume>
    <b:Issue>2</b:Issue>
    <b:URL>https://www.farmaceuticoscomunitarios.org/system/files/journals/152/articles/04-78-83.pdf</b:URL>
    <b:StandardNumber> ISSN: 1885-8619</b:StandardNumber>
    <b:YearAccessed>2021</b:YearAccessed>
    <b:MonthAccessed>Junio</b:MonthAccessed>
    <b:RefOrder>1169</b:RefOrder>
  </b:Source>
  <b:Source>
    <b:Tag>Sán191</b:Tag>
    <b:SourceType>JournalArticle</b:SourceType>
    <b:Guid>{71C846CB-0134-4213-A585-6F5097EC83C3}</b:Guid>
    <b:Title>Estructura de los niveles de concentración de mercado en el sector de elaborados farmacéuticos del Ecuador, Período 2010-2017</b:Title>
    <b:JournalName>Espacios</b:JournalName>
    <b:Year>2019</b:Year>
    <b:Pages>p.12</b:Pages>
    <b:Author>
      <b:Author>
        <b:NameList>
          <b:Person>
            <b:Last>Sánchez Giler</b:Last>
            <b:First>Sunny</b:First>
          </b:Person>
          <b:Person>
            <b:Last>García Regalado</b:Last>
            <b:First>Jorge</b:First>
          </b:Person>
          <b:Person>
            <b:Last>Jara Quevedo</b:Last>
            <b:First>Gylson</b:First>
          </b:Person>
          <b:Person>
            <b:Last>Massuh Arreaga</b:Last>
            <b:First>Osvaldo</b:First>
          </b:Person>
        </b:NameList>
      </b:Author>
    </b:Author>
    <b:Volume>40</b:Volume>
    <b:Issue>18</b:Issue>
    <b:URL>https://www.revistaespacios.com/a19v40n18/a19v40n18p12.pdf</b:URL>
    <b:StandardNumber>ISSN:  0798-1015</b:StandardNumber>
    <b:YearAccessed>2021</b:YearAccessed>
    <b:MonthAccessed>Julio</b:MonthAccessed>
    <b:RefOrder>1170</b:RefOrder>
  </b:Source>
  <b:Source>
    <b:Tag>Sán17</b:Tag>
    <b:SourceType>JournalArticle</b:SourceType>
    <b:Guid>{6081DA63-AC5E-4D9B-9A46-9B424D55867E}</b:Guid>
    <b:Author>
      <b:Author>
        <b:NameList>
          <b:Person>
            <b:Last>Sánchez-Narváez</b:Last>
            <b:First>Francisco</b:First>
          </b:Person>
          <b:Person>
            <b:Last>Velasco-Orozco</b:Last>
            <b:First>Juan</b:First>
            <b:Middle>Jesús</b:Middle>
          </b:Person>
        </b:NameList>
      </b:Author>
    </b:Author>
    <b:Title>Comorbilidad entre síndrome de Burnout, depresión y ansiedad en una muestra de profesores de Educación Básica del Estado de México</b:Title>
    <b:JournalName>Papeles de población</b:JournalName>
    <b:Year>2017</b:Year>
    <b:Pages>261-286</b:Pages>
    <b:StandardNumber>1405-7425</b:StandardNumber>
    <b:DOI>https://doi.org/10.22185/24487147.2017.94.038 </b:DOI>
    <b:RefOrder>1171</b:RefOrder>
  </b:Source>
  <b:Source>
    <b:Tag>Maz151</b:Tag>
    <b:SourceType>JournalArticle</b:SourceType>
    <b:Guid>{478F2A1A-F758-43C3-B142-9596D34EACD6}</b:Guid>
    <b:Author>
      <b:Author>
        <b:NameList>
          <b:Person>
            <b:Last>Maza</b:Last>
            <b:First>Valerio</b:First>
          </b:Person>
        </b:NameList>
      </b:Author>
    </b:Author>
    <b:Title>Metodologia para el desarrollo de la electrificacion</b:Title>
    <b:JournalName>EPN</b:JournalName>
    <b:Year>2015</b:Year>
    <b:RefOrder>1172</b:RefOrder>
  </b:Source>
  <b:Source>
    <b:Tag>Sup13</b:Tag>
    <b:SourceType>JournalArticle</b:SourceType>
    <b:Guid>{1F428FCF-A2A8-432F-A1F6-9E3E6D5A5185}</b:Guid>
    <b:Author>
      <b:Author>
        <b:Corporate>Supe, G.,&amp; Santiago, A. </b:Corporate>
      </b:Author>
    </b:Author>
    <b:Title>Electrificación Rural y Urbano Marginal</b:Title>
    <b:Year>2013</b:Year>
    <b:JournalName>EPN</b:JournalName>
    <b:RefOrder>1173</b:RefOrder>
  </b:Source>
  <b:Source>
    <b:Tag>Sil20</b:Tag>
    <b:SourceType>ArticleInAPeriodical</b:SourceType>
    <b:Guid>{2B4E6423-317A-4A6D-83D6-29DCDB5CFC65}</b:Guid>
    <b:Title>11% de las muertes por accidentes viales ocurre en las Américas</b:Title>
    <b:Year>2020</b:Year>
    <b:Author>
      <b:Author>
        <b:NameList>
          <b:Person>
            <b:Last>Murillo</b:Last>
            <b:First>Silvia</b:First>
          </b:Person>
        </b:NameList>
      </b:Author>
    </b:Author>
    <b:PeriodicalTitle>El Telegrafo</b:PeriodicalTitle>
    <b:Month>Noviembre</b:Month>
    <b:Day>15</b:Day>
    <b:RefOrder>1174</b:RefOrder>
  </b:Source>
  <b:Source>
    <b:Tag>Jun14</b:Tag>
    <b:SourceType>DocumentFromInternetSite</b:SourceType>
    <b:Guid>{7EF13E9B-AB27-4592-AF15-E788E9C55AC9}</b:Guid>
    <b:Title>Hidrophilic Characterization of Automotive Brake Fluid</b:Title>
    <b:Year>2014</b:Year>
    <b:YearAccessed>2021</b:YearAccessed>
    <b:MonthAccessed>11</b:MonthAccessed>
    <b:DayAccessed>12</b:DayAccessed>
    <b:URL>file:///C:/Users/User/Desktop/brake%20fluid%20moisture%20measurement.pdf</b:URL>
    <b:Author>
      <b:Author>
        <b:NameList>
          <b:Person>
            <b:Last>Jung Kao</b:Last>
            <b:First>Chi</b:First>
            <b:Middle>Tien, Ching Ting,</b:Middle>
          </b:Person>
        </b:NameList>
      </b:Author>
    </b:Author>
    <b:RefOrder>1175</b:RefOrder>
  </b:Source>
  <b:Source>
    <b:Tag>Nic18</b:Tag>
    <b:SourceType>DocumentFromInternetSite</b:SourceType>
    <b:Guid>{DD04A317-5531-4BA6-9D44-6470043B1FCE}</b:Guid>
    <b:Title>Science Direct </b:Title>
    <b:Year>2018</b:Year>
    <b:Author>
      <b:Author>
        <b:NameList>
          <b:Person>
            <b:Last>Nickolay Podoprigora</b:Last>
            <b:First>Viktor</b:First>
            <b:Middle>Dobromirov, Polina Stepina</b:Middle>
          </b:Person>
        </b:NameList>
      </b:Author>
    </b:Author>
    <b:YearAccessed>2021</b:YearAccessed>
    <b:MonthAccessed>07</b:MonthAccessed>
    <b:URL>www.sciencedirect.com</b:URL>
    <b:RefOrder>1176</b:RefOrder>
  </b:Source>
  <b:Source>
    <b:Tag>Ene19</b:Tag>
    <b:SourceType>InternetSite</b:SourceType>
    <b:Guid>{45DD4835-A13F-4535-8F94-02CD749D53A2}</b:Guid>
    <b:Author>
      <b:Author>
        <b:NameList>
          <b:Person>
            <b:Last>Energiteca</b:Last>
          </b:Person>
        </b:NameList>
      </b:Author>
    </b:Author>
    <b:Title>¿Qué significa `DOT´ en el líquido de frenos?</b:Title>
    <b:Year>2019</b:Year>
    <b:Month>Julio</b:Month>
    <b:Day>8</b:Day>
    <b:ProductionCompany>Energiteca</b:ProductionCompany>
    <b:YearAccessed>2021</b:YearAccessed>
    <b:MonthAccessed>noviembre</b:MonthAccessed>
    <b:DayAccessed>10</b:DayAccessed>
    <b:URL>https://energiteca.com/contenidos/tip/DOT_en_%20el_liquido_de_frenos%20</b:URL>
    <b:RefOrder>1177</b:RefOrder>
  </b:Source>
  <b:Source>
    <b:Tag>MarcadorDePosición110</b:Tag>
    <b:SourceType>DocumentFromInternetSite</b:SourceType>
    <b:Guid>{91181FCE-A542-4E53-B43E-AD351E5A88D8}</b:Guid>
    <b:Author>
      <b:Author>
        <b:NameList>
          <b:Person>
            <b:Last>Marzieh Salehi</b:Last>
            <b:First>Anke</b:First>
            <b:Middle>Blume, Jacques W, Louis A</b:Middle>
          </b:Person>
        </b:NameList>
      </b:Author>
    </b:Author>
    <b:Title>Parameter Optimization for a laboratory friction tester to predict tire ABS braking distance using design of experiments</b:Title>
    <b:Year>2020</b:Year>
    <b:Month>06</b:Month>
    <b:Day>16</b:Day>
    <b:YearAccessed>2021</b:YearAccessed>
    <b:MonthAccessed>11</b:MonthAccessed>
    <b:DayAccessed>10</b:DayAccessed>
    <b:URL>file:///C:/Users/User/Desktop/abs%20tire%20tester.pdf</b:URL>
    <b:JournalName>Materials and Design</b:JournalName>
    <b:RefOrder>1178</b:RefOrder>
  </b:Source>
  <b:Source>
    <b:Tag>Aki00</b:Tag>
    <b:SourceType>BookSection</b:SourceType>
    <b:Guid>{5D11A9D8-E45F-48A1-899F-2C26117A81A0}</b:Guid>
    <b:Title>Control method for brake vapor lock in automobiles</b:Title>
    <b:Year>2000</b:Year>
    <b:Pages>73 - 78</b:Pages>
    <b:Author>
      <b:Author>
        <b:NameList>
          <b:Person>
            <b:Last>Akira Kawakami!</b:Last>
            <b:First>Akio</b:First>
            <b:Middle>Shikada", Kanou Miyao</b:Middle>
          </b:Person>
        </b:NameList>
      </b:Author>
    </b:Author>
    <b:BookTitle>SAE of Japan</b:BookTitle>
    <b:City>Japan</b:City>
    <b:Publisher>ELSERVIER</b:Publisher>
    <b:RefOrder>1179</b:RefOrder>
  </b:Source>
  <b:Source>
    <b:Tag>Cer09</b:Tag>
    <b:SourceType>InternetSite</b:SourceType>
    <b:Guid>{85E79629-1647-486A-A034-B77419B76AB8}</b:Guid>
    <b:Author>
      <b:Author>
        <b:NameList>
          <b:Person>
            <b:Last>Cerrato</b:Last>
          </b:Person>
        </b:NameList>
      </b:Author>
    </b:Author>
    <b:Title>Mecanica del automovil </b:Title>
    <b:ProductionCompany>Blogger</b:ProductionCompany>
    <b:Year>2009</b:Year>
    <b:YearAccessed>2021</b:YearAccessed>
    <b:MonthAccessed>noviembre</b:MonthAccessed>
    <b:DayAccessed>12</b:DayAccessed>
    <b:URL>http://mecanicayautomocion.blogspot.com/2009/03/sistemas-de-seguridad-en-el-automovil.html</b:URL>
    <b:RefOrder>1180</b:RefOrder>
  </b:Source>
  <b:Source>
    <b:Tag>SNa</b:Tag>
    <b:SourceType>JournalArticle</b:SourceType>
    <b:Guid>{B466A2F8-D326-4DAA-AE93-0B4D03B580BD}</b:Guid>
    <b:Author>
      <b:Author>
        <b:NameList>
          <b:Person>
            <b:Last>S. Nadanasabapathy</b:Last>
            <b:First>S.M.</b:First>
            <b:Middle>Raj Kumar</b:Middle>
          </b:Person>
        </b:NameList>
      </b:Author>
    </b:Author>
    <b:Title>Analysis of fluid behaviour inside the brake lines in non anti-lock braking</b:Title>
    <b:JournalName>ScienceDirect</b:JournalName>
    <b:Pages>7</b:Pages>
    <b:RefOrder>1181</b:RefOrder>
  </b:Source>
  <b:Source>
    <b:Tag>Fun20</b:Tag>
    <b:SourceType>InternetSite</b:SourceType>
    <b:Guid>{4426975C-9C6B-43CB-BC0A-7C69A44E0E47}</b:Guid>
    <b:Title>Frenar con ABS</b:Title>
    <b:Year>2020</b:Year>
    <b:YearAccessed>2021</b:YearAccessed>
    <b:MonthAccessed>septiembre </b:MonthAccessed>
    <b:URL>https://www.seguridad-vial.net/conduccion/conducir-seguro/73-frenar-con-abs</b:URL>
    <b:Author>
      <b:Author>
        <b:NameList>
          <b:Person>
            <b:Last>CEA</b:Last>
            <b:First>Fundacion</b:First>
          </b:Person>
        </b:NameList>
      </b:Author>
    </b:Author>
    <b:ProductionCompany>Comisariato europeo del automovil </b:ProductionCompany>
    <b:RefOrder>1182</b:RefOrder>
  </b:Source>
  <b:Source>
    <b:Tag>Ric06</b:Tag>
    <b:SourceType>DocumentFromInternetSite</b:SourceType>
    <b:Guid>{65CA16B1-22F6-4F6A-8F7D-A6D4AFFBCA5F}</b:Guid>
    <b:Title>Frenos ABS</b:Title>
    <b:Year>2006</b:Year>
    <b:Month>junio</b:Month>
    <b:YearAccessed>2021</b:YearAccessed>
    <b:MonthAccessed>septiembre </b:MonthAccessed>
    <b:DayAccessed>1</b:DayAccessed>
    <b:URL>http://biblioteca.usac.edu.gt/tesis/08/08_0509_M.pdf</b:URL>
    <b:Author>
      <b:Author>
        <b:NameList>
          <b:Person>
            <b:Last>Solares</b:Last>
            <b:First>Ricardo</b:First>
            <b:Middle>Enrique Soto</b:Middle>
          </b:Person>
        </b:NameList>
      </b:Author>
    </b:Author>
    <b:RefOrder>1183</b:RefOrder>
  </b:Source>
  <b:Source>
    <b:Tag>Par93</b:Tag>
    <b:SourceType>Book</b:SourceType>
    <b:Guid>{E1F28941-F160-4B4C-8375-1C8AEB42B982}</b:Guid>
    <b:Title>Frenos ABS</b:Title>
    <b:Year>1993</b:Year>
    <b:Author>
      <b:Author>
        <b:NameList>
          <b:Person>
            <b:Last>Parera</b:Last>
            <b:First>A.</b:First>
            <b:Middle>M.</b:Middle>
          </b:Person>
        </b:NameList>
      </b:Author>
    </b:Author>
    <b:Publisher>Marcombo</b:Publisher>
    <b:RefOrder>1184</b:RefOrder>
  </b:Source>
  <b:Source>
    <b:Tag>Pet</b:Tag>
    <b:SourceType>BookSection</b:SourceType>
    <b:Guid>{1013294D-FA78-4F87-B542-96CE9D885E6A}</b:Guid>
    <b:Author>
      <b:Author>
        <b:NameList>
          <b:Person>
            <b:Last>Peter Keith Brian HodgesBSc.</b:Last>
            <b:First>F.lnst.Pet.</b:First>
          </b:Person>
        </b:NameList>
      </b:Author>
    </b:Author>
    <b:Pages>144 - 149</b:Pages>
    <b:Publisher>Butterworth Heinemann</b:Publisher>
    <b:Title>Hydraulic Brake Fluids</b:Title>
    <b:BookTitle>Hydraulic Fluids</b:BookTitle>
    <b:Year>1996</b:Year>
    <b:RefOrder>1185</b:RefOrder>
  </b:Source>
  <b:Source>
    <b:Tag>Šte06</b:Tag>
    <b:SourceType>DocumentFromInternetSite</b:SourceType>
    <b:Guid>{439E1BDF-311B-430A-AF3F-7BD39A6E6F24}</b:Guid>
    <b:Title>THE SPECIFICS ASPECTS OF BRAKE FLUIDS EVALUATION   IN OPERATION  </b:Title>
    <b:Year>2006</b:Year>
    <b:Author>
      <b:Author>
        <b:NameList>
          <b:Person>
            <b:Last>3</b:Last>
            <b:First>Štefan</b:First>
            <b:Middle>ČORŇÁK1 - Roman BALÍK 2 – Jiří BARTÁK</b:Middle>
          </b:Person>
        </b:NameList>
      </b:Author>
    </b:Author>
    <b:Month>12</b:Month>
    <b:Day>19</b:Day>
    <b:YearAccessed>2021</b:YearAccessed>
    <b:MonthAccessed>11</b:MonthAccessed>
    <b:DayAccessed>11</b:DayAccessed>
    <b:URL>https://pernerscontacts.upce.cz/index.php/perner/article/view/1404/1180</b:URL>
    <b:RefOrder>1186</b:RefOrder>
  </b:Source>
  <b:Source>
    <b:Tag>Com17</b:Tag>
    <b:SourceType>InternetSite</b:SourceType>
    <b:Guid>{62557865-989D-4FE7-BE67-674667200A84}</b:Guid>
    <b:Author>
      <b:Author>
        <b:NameList>
          <b:Person>
            <b:Last>Compralubricantes.com</b:Last>
          </b:Person>
        </b:NameList>
      </b:Author>
    </b:Author>
    <b:Title>¿Qué es el líquido de frenos y qué tipos hay?</b:Title>
    <b:Year>2017</b:Year>
    <b:Month>marzo</b:Month>
    <b:Day>17</b:Day>
    <b:YearAccessed>2021</b:YearAccessed>
    <b:MonthAccessed>septiembre</b:MonthAccessed>
    <b:URL>https://compralubricantes.com/blog/que-es-el-liquido-de-frenos-y-que-tipos-hay/</b:URL>
    <b:RefOrder>1187</b:RefOrder>
  </b:Source>
  <b:Source>
    <b:Tag>loc21</b:Tag>
    <b:SourceType>InternetSite</b:SourceType>
    <b:Guid>{C49CC17E-8518-4919-B918-50777851190D}</b:Guid>
    <b:Author>
      <b:Author>
        <b:NameList>
          <b:Person>
            <b:Last>teroson</b:Last>
            <b:First>loctite</b:First>
          </b:Person>
        </b:NameList>
      </b:Author>
    </b:Author>
    <b:Title>Conociendo los distintos tipos de liquido de frenos</b:Title>
    <b:ProductionCompany>Ruta 401</b:ProductionCompany>
    <b:YearAccessed>2021</b:YearAccessed>
    <b:MonthAccessed>semptiembre</b:MonthAccessed>
    <b:URL>https://blog.reparacion-vehiculos.es/tipos-de-liquido-de-frenos</b:URL>
    <b:RefOrder>1188</b:RefOrder>
  </b:Source>
  <b:Source>
    <b:Tag>Rob96</b:Tag>
    <b:SourceType>Book</b:SourceType>
    <b:Guid>{4EA8D55D-E8C7-4295-86BE-39C87546C5E6}</b:Guid>
    <b:Title>Mecanica de Fluidos aplicada</b:Title>
    <b:Year>1996</b:Year>
    <b:Author>
      <b:Author>
        <b:NameList>
          <b:Person>
            <b:Last>Mott</b:Last>
            <b:First>Robert</b:First>
            <b:Middle>L.</b:Middle>
          </b:Person>
        </b:NameList>
      </b:Author>
    </b:Author>
    <b:City>Mexico</b:City>
    <b:Publisher>Pearson Education</b:Publisher>
    <b:RefOrder>1189</b:RefOrder>
  </b:Source>
  <b:Source>
    <b:Tag>OAF21</b:Tag>
    <b:SourceType>JournalArticle</b:SourceType>
    <b:Guid>{9CC3F1AA-B951-4907-95E8-4A96217D0DB8}</b:Guid>
    <b:Title>Significance of viscosity and thermal conductivity variation parameters onthe dynamics of Newtonian fluid conveying tiny particles over a convectivelyheated surface</b:Title>
    <b:Year>2021</b:Year>
    <b:Author>
      <b:Author>
        <b:NameList>
          <b:Person>
            <b:Last>Omowaye</b:Last>
            <b:First>O.A.</b:First>
            <b:Middle>FamakinwaO.K. KorikoK.S. AdegbieA.J.</b:Middle>
          </b:Person>
        </b:NameList>
      </b:Author>
    </b:Author>
    <b:JournalName>ScienceDirect</b:JournalName>
    <b:Pages>7</b:Pages>
    <b:RefOrder>1190</b:RefOrder>
  </b:Source>
  <b:Source>
    <b:Tag>Yun06</b:Tag>
    <b:SourceType>BookSection</b:SourceType>
    <b:Guid>{80CDB1F3-3DF2-43EC-86EA-64821BA3E232}</b:Guid>
    <b:Author>
      <b:Author>
        <b:NameList>
          <b:Person>
            <b:Last>Yunes A. Cengel</b:Last>
            <b:First>John</b:First>
            <b:Middle>M. Cimbala</b:Middle>
          </b:Person>
        </b:NameList>
      </b:Author>
    </b:Author>
    <b:Title>Viscosidad</b:Title>
    <b:BookTitle>Mecanica de Fluidos </b:BookTitle>
    <b:Year>2006</b:Year>
    <b:Pages>46 - 50</b:Pages>
    <b:City>Mexico</b:City>
    <b:Publisher>McGraw-Hill</b:Publisher>
    <b:RefOrder>1191</b:RefOrder>
  </b:Source>
  <b:Source>
    <b:Tag>JUA18</b:Tag>
    <b:SourceType>DocumentFromInternetSite</b:SourceType>
    <b:Guid>{D7659EFA-B898-40E2-80BB-DF5AC1F5EB1B}</b:Guid>
    <b:Title>VALIDACIÓN DE LA NORMA ASTM D445 PARA LA MATRIZ DE JET A-1, EN EL CENTRO NACIONAL DE CONTROL DE CALIDAD DE HIDROCARBUROS DE LAAGENCIA DE REGULACION Y CONTROL HIDROCARBURIFERO</b:Title>
    <b:Year>2018</b:Year>
    <b:YearAccessed>2021</b:YearAccessed>
    <b:MonthAccessed>SEPTIEMBRE</b:MonthAccessed>
    <b:URL>http://www.dspace.uce.edu.ec/bitstream/25000/16486/1/T-UCE-0017-IQU-009.pdf</b:URL>
    <b:Author>
      <b:Author>
        <b:NameList>
          <b:Person>
            <b:Last>BUSTAMANTE</b:Last>
            <b:First>JUAN</b:First>
            <b:Middle>FRANCISCO MENCÍAS</b:Middle>
          </b:Person>
        </b:NameList>
      </b:Author>
    </b:Author>
    <b:RefOrder>1192</b:RefOrder>
  </b:Source>
  <b:Source>
    <b:Tag>AST18</b:Tag>
    <b:SourceType>InternetSite</b:SourceType>
    <b:Guid>{A02F1DE5-3384-4C80-8B91-49249D2C46B2}</b:Guid>
    <b:Title>Método de prueba estándar para determinación de la viscosidad cinemática de líquidos transparentes y opacos (y cálculo de la viscosidad dinámica)</b:Title>
    <b:Year>2018</b:Year>
    <b:Month>MAYO</b:Month>
    <b:Day>25</b:Day>
    <b:YearAccessed>2021</b:YearAccessed>
    <b:MonthAccessed>SEPTIEMBRE</b:MonthAccessed>
    <b:URL>https://www.astm.org/Standards/D445-SP.htm</b:URL>
    <b:Author>
      <b:Author>
        <b:NameList>
          <b:Person>
            <b:Last>INTERNATIONAL</b:Last>
            <b:First>ASTM</b:First>
          </b:Person>
        </b:NameList>
      </b:Author>
    </b:Author>
    <b:RefOrder>1193</b:RefOrder>
  </b:Source>
  <b:Source>
    <b:Tag>MarcadorDePosición111</b:Tag>
    <b:SourceType>JournalArticle</b:SourceType>
    <b:Guid>{DC639927-B5E6-4A27-9508-FB5A6B461342}</b:Guid>
    <b:Title>Eficacia y distancia de frenado</b:Title>
    <b:Year>2016</b:Year>
    <b:Author>
      <b:Author>
        <b:NameList>
          <b:Person>
            <b:Last>Antonio</b:Last>
            <b:First>Alzallu</b:First>
            <b:Middle>Soriano Jose</b:Middle>
          </b:Person>
        </b:NameList>
      </b:Author>
    </b:Author>
    <b:BookTitle>Publicaciones didacticas</b:BookTitle>
    <b:Pages>341, 345</b:Pages>
    <b:JournalName>Publicaciones didacticas</b:JournalName>
    <b:Issue>74</b:Issue>
    <b:RefOrder>1194</b:RefOrder>
  </b:Source>
  <b:Source>
    <b:Tag>Nic181</b:Tag>
    <b:SourceType>JournalArticle</b:SourceType>
    <b:Guid>{0BAA4118-8EED-4013-8D04-BCA2F2CA3E44}</b:Guid>
    <b:Author>
      <b:Author>
        <b:NameList>
          <b:Person>
            <b:Last>Vytenis Surblys</b:Last>
            <b:First>Edgar</b:First>
            <b:Middle>Sokolovskij</b:Middle>
          </b:Person>
        </b:NameList>
      </b:Author>
    </b:Author>
    <b:Title>Research of the vehicle brake Testing efficiency</b:Title>
    <b:JournalName>ScienceDirect</b:JournalName>
    <b:Year>2015</b:Year>
    <b:Pages>7</b:Pages>
    <b:RefOrder>1195</b:RefOrder>
  </b:Source>
  <b:Source>
    <b:Tag>Die17</b:Tag>
    <b:SourceType>DocumentFromInternetSite</b:SourceType>
    <b:Guid>{7F954116-5C31-4DA7-ABD3-9B989425B3D6}</b:Guid>
    <b:Author>
      <b:Author>
        <b:NameList>
          <b:Person>
            <b:Last>Diego Francisco Sanmartín Vaca</b:Last>
            <b:First>Mateo</b:First>
            <b:Middle>Alexander Marcillo Loayza</b:Middle>
          </b:Person>
        </b:NameList>
      </b:Author>
    </b:Author>
    <b:Title>Repositorio UIDE</b:Title>
    <b:Year>2017</b:Year>
    <b:Month>Noviembre</b:Month>
    <b:YearAccessed>2022</b:YearAccessed>
    <b:MonthAccessed>02</b:MonthAccessed>
    <b:DayAccessed>22</b:DayAccessed>
    <b:URL>https://repositorio.uide.edu.ec/bitstream/37000/2491/3/T-UIDE-1783.pdf</b:URL>
    <b:RefOrder>1196</b:RefOrder>
  </b:Source>
  <b:Source>
    <b:Tag>Mur08</b:Tag>
    <b:SourceType>DocumentFromInternetSite</b:SourceType>
    <b:Guid>{D46629FC-9BF9-41BF-BF42-8EE072955C93}</b:Guid>
    <b:Author>
      <b:Author>
        <b:NameList>
          <b:Person>
            <b:Last>Murillo</b:Last>
            <b:First>W</b:First>
          </b:Person>
        </b:NameList>
      </b:Author>
    </b:Author>
    <b:Title>La investigacion cientifica </b:Title>
    <b:Year>2008</b:Year>
    <b:YearAccessed>2021</b:YearAccessed>
    <b:MonthAccessed>septiembre </b:MonthAccessed>
    <b:DayAccessed>28</b:DayAccessed>
    <b:URL>http//www.monografias.com/trabajos15/invest-cientifica/invest-cientifica.shtm</b:URL>
    <b:RefOrder>1197</b:RefOrder>
  </b:Source>
  <b:Source>
    <b:Tag>Ing20</b:Tag>
    <b:SourceType>Report</b:SourceType>
    <b:Guid>{0488A6D6-0AA6-4231-A8A6-FC63FBF801FD}</b:Guid>
    <b:Title>Proyecto influencia de la viscocidad en la calidad y eficiencia del frenado en el sistema ABS </b:Title>
    <b:Year>2020</b:Year>
    <b:Author>
      <b:Author>
        <b:NameList>
          <b:Person>
            <b:Last>torre</b:Last>
            <b:First>Ing</b:First>
            <b:Middle>Ernesto de la</b:Middle>
          </b:Person>
        </b:NameList>
      </b:Author>
    </b:Author>
    <b:RefOrder>1198</b:RefOrder>
  </b:Source>
  <b:Source>
    <b:Tag>Ing201</b:Tag>
    <b:SourceType>Report</b:SourceType>
    <b:Guid>{F9E12EB5-D2A5-4D69-8F10-F52CDB987875}</b:Guid>
    <b:Author>
      <b:Author>
        <b:NameList>
          <b:Person>
            <b:Last>Ing. Ligia Moscoso</b:Last>
            <b:First>Ing.</b:First>
            <b:Middle>Ernesto de la Torre</b:Middle>
          </b:Person>
        </b:NameList>
      </b:Author>
    </b:Author>
    <b:Title>Procedimiento de preparacion de muestras convenio Qualco - Uide </b:Title>
    <b:Year>2020</b:Year>
    <b:RefOrder>1199</b:RefOrder>
  </b:Source>
  <b:Source>
    <b:Tag>LAC21</b:Tag>
    <b:SourceType>Report</b:SourceType>
    <b:Guid>{372EBF4F-1E7C-429C-B9FA-0DFEC62ED19A}</b:Guid>
    <b:Author>
      <b:Author>
        <b:NameList>
          <b:Person>
            <b:Last>LACBAL</b:Last>
          </b:Person>
        </b:NameList>
      </b:Author>
    </b:Author>
    <b:Title>INFORME DE ANALISIS DE RESULTADOS </b:Title>
    <b:Year>2021</b:Year>
    <b:City>Quito</b:City>
    <b:RefOrder>1200</b:RefOrder>
  </b:Source>
  <b:Source>
    <b:Tag>ROD12</b:Tag>
    <b:SourceType>Book</b:SourceType>
    <b:Guid>{B4A85137-D1C0-4A5D-B480-16F2987C9565}</b:Guid>
    <b:Title>CONTABILIDA BASICA Y DOCUMENTOS MERCANTILES</b:Title>
    <b:Year>2008</b:Year>
    <b:City>ARGENTINA</b:City>
    <b:Publisher>N-DAG</b:Publisher>
    <b:Author>
      <b:Author>
        <b:NameList>
          <b:Person>
            <b:Last>DANIEL</b:Last>
            <b:First>AYAVIRI</b:First>
            <b:Middle>GARCIA</b:Middle>
          </b:Person>
        </b:NameList>
      </b:Author>
      <b:BookAuthor>
        <b:NameList>
          <b:Person>
            <b:Last>Rodriguez</b:Last>
            <b:First>Leopoldo</b:First>
          </b:Person>
        </b:NameList>
      </b:BookAuthor>
    </b:Author>
    <b:BookTitle>Analisis Financiero</b:BookTitle>
    <b:Pages>135</b:Pages>
    <b:RefOrder>1201</b:RefOrder>
  </b:Source>
  <b:Source>
    <b:Tag>Aya08</b:Tag>
    <b:SourceType>BookSection</b:SourceType>
    <b:Guid>{0A427C7B-DD6E-4A53-9D9A-FF4C04032643}</b:Guid>
    <b:Title>CONTABILIDAD BÁSICA Y DOCUMENTOS MERCANTILES</b:Title>
    <b:Year>2008</b:Year>
    <b:City>ARGENTINA </b:City>
    <b:Publisher>“N-DAG”</b:Publisher>
    <b:Author>
      <b:Author>
        <b:NameList>
          <b:Person>
            <b:Last>Daniel</b:Last>
            <b:First>Ayaviri</b:First>
            <b:Middle>Garcia</b:Middle>
          </b:Person>
        </b:NameList>
      </b:Author>
      <b:BookAuthor>
        <b:NameList>
          <b:Person>
            <b:Last>Daniel</b:Last>
            <b:First>Ayaviri</b:First>
            <b:Middle>Garcia</b:Middle>
          </b:Person>
        </b:NameList>
      </b:BookAuthor>
    </b:Author>
    <b:BookTitle>CONTABILIDAD BÁSICA Y DOCUMENTOS MERCANTILES</b:BookTitle>
    <b:Pages>10</b:Pages>
    <b:RefOrder>1202</b:RefOrder>
  </b:Source>
  <b:Source>
    <b:Tag>MarcadorDePosición112</b:Tag>
    <b:SourceType>BookSection</b:SourceType>
    <b:Guid>{0E2EE67E-8C26-4C83-8815-BB119D4D1F8E}</b:Guid>
    <b:Title>Analisis Financiero (Para una toma de decisiones)</b:Title>
    <b:Year>2012</b:Year>
    <b:City>Mexico</b:City>
    <b:Publisher>Graw Hill Ediciones</b:Publisher>
    <b:Author>
      <b:Author>
        <b:NameList>
          <b:Person>
            <b:Last>RODRIGUEZ</b:Last>
            <b:First>LEOPOLDO</b:First>
          </b:Person>
        </b:NameList>
      </b:Author>
      <b:BookAuthor>
        <b:NameList>
          <b:Person>
            <b:Last>Rodriguez</b:Last>
            <b:First>Leopoldo</b:First>
          </b:Person>
        </b:NameList>
      </b:BookAuthor>
    </b:Author>
    <b:BookTitle>Analisis Financiero</b:BookTitle>
    <b:Pages>135</b:Pages>
    <b:RefOrder>1203</b:RefOrder>
  </b:Source>
  <b:Source>
    <b:Tag>uli14</b:Tag>
    <b:SourceType>InternetSite</b:SourceType>
    <b:Guid>{AFFD2DE2-C357-473C-9AD4-1028A8A3DF4B}</b:Guid>
    <b:Author>
      <b:Author>
        <b:NameList>
          <b:Person>
            <b:Last>Porto Pérez</b:Last>
            <b:First>Julian</b:First>
          </b:Person>
        </b:NameList>
      </b:Author>
    </b:Author>
    <b:Title>Definición de análisis financiero</b:Title>
    <b:InternetSiteTitle>Definición de análisis financiero</b:InternetSiteTitle>
    <b:Year>2014</b:Year>
    <b:URL>(https://definicion.de/analisis-financiero/)</b:URL>
    <b:RefOrder>1204</b:RefOrder>
  </b:Source>
  <b:Source>
    <b:Tag>Eme00</b:Tag>
    <b:SourceType>InternetSite</b:SourceType>
    <b:Guid>{7755DD73-0522-44BC-89F8-99543989A8A9}</b:Guid>
    <b:Title>razones financieras</b:Title>
    <b:Author>
      <b:Author>
        <b:NameList>
          <b:Person>
            <b:Last>Giovanny</b:Last>
            <b:First>Gómez</b:First>
          </b:Person>
        </b:NameList>
      </b:Author>
    </b:Author>
    <b:InternetSiteTitle>razones financieras</b:InternetSiteTitle>
    <b:Year>2015</b:Year>
    <b:Month>Febrero</b:Month>
    <b:Day>19</b:Day>
    <b:URL>https://www.gestiopolis.com</b:URL>
    <b:RefOrder>1205</b:RefOrder>
  </b:Source>
  <b:Source>
    <b:Tag>Rob09</b:Tag>
    <b:SourceType>JournalArticle</b:SourceType>
    <b:Guid>{5C56B51B-3509-4C20-84FC-4C4628A26BA1}</b:Guid>
    <b:Author>
      <b:Author>
        <b:NameList>
          <b:Person>
            <b:Last>Roberto</b:Last>
            <b:First>Estrada</b:First>
          </b:Person>
          <b:Person>
            <b:Last>Garcia</b:Last>
            <b:First>Domingo</b:First>
          </b:Person>
          <b:Person>
            <b:Last>Sanchez </b:Last>
            <b:First>Victor</b:First>
          </b:Person>
        </b:NameList>
      </b:Author>
    </b:Author>
    <b:Title>Factores determinantes del exito competitivo </b:Title>
    <b:JournalName>Redalyc</b:JournalName>
    <b:Year>2009</b:Year>
    <b:RefOrder>1206</b:RefOrder>
  </b:Source>
  <b:Source>
    <b:Tag>Con30</b:Tag>
    <b:SourceType>Misc</b:SourceType>
    <b:Guid>{B6ED5A1D-7176-492B-95D2-75CCBDDF1F19}</b:Guid>
    <b:Title>Constitución del Ecuador</b:Title>
    <b:Year>1998</b:Year>
    <b:RefOrder>1207</b:RefOrder>
  </b:Source>
  <b:Source>
    <b:Tag>Paz22</b:Tag>
    <b:SourceType>JournalArticle</b:SourceType>
    <b:Guid>{51741D4C-BE8D-4C31-8BB1-B84FD3E48DF3}</b:Guid>
    <b:Title>La acción de protección en el Ecuador: sus orígenes</b:Title>
    <b:Year>2022</b:Year>
    <b:Author>
      <b:Author>
        <b:NameList>
          <b:Person>
            <b:Last>José Pazmiño-Castillo</b:Last>
          </b:Person>
        </b:NameList>
      </b:Author>
    </b:Author>
    <b:JournalName>RECIMUNDO</b:JournalName>
    <b:Pages>399, 400</b:Pages>
    <b:RefOrder>1208</b:RefOrder>
  </b:Source>
  <b:Source>
    <b:Tag>Alc18</b:Tag>
    <b:SourceType>JournalArticle</b:SourceType>
    <b:Guid>{44A4F2FC-B1CF-406E-A763-758CAEDD503B}</b:Guid>
    <b:Author>
      <b:Author>
        <b:NameList>
          <b:Person>
            <b:Last>López-Zambrano</b:Last>
            <b:First>Alcides</b:First>
          </b:Person>
        </b:NameList>
      </b:Author>
    </b:Author>
    <b:Title>La acción de protección su eficacia y aplicación en el Ecuador</b:Title>
    <b:JournalName>DOMINIO DE LAS CIENCIAS</b:JournalName>
    <b:Year>2018</b:Year>
    <b:Pages>162</b:Pages>
    <b:RefOrder>1209</b:RefOrder>
  </b:Source>
  <b:Source>
    <b:Tag>STO17</b:Tag>
    <b:SourceType>JournalArticle</b:SourceType>
    <b:Guid>{BF1AE252-FF96-406D-A85E-D970A65A53C2}</b:Guid>
    <b:Author>
      <b:Author>
        <b:NameList>
          <b:Person>
            <b:Last>Storini Claudia</b:Last>
          </b:Person>
        </b:NameList>
      </b:Author>
    </b:Author>
    <b:Title>Las garantías de los derechos en las constituciones de Bolivia y Ecuador</b:Title>
    <b:JournalName>Revista de Derecho, UASB.ECUADOR</b:JournalName>
    <b:Year>2017</b:Year>
    <b:RefOrder>1210</b:RefOrder>
  </b:Source>
  <b:Source>
    <b:Tag>Poz22</b:Tag>
    <b:SourceType>JournalArticle</b:SourceType>
    <b:Guid>{78B43815-2996-4DFF-B40D-C4996E7060EA}</b:Guid>
    <b:Title>El Habeas Corpus como Garantía Individual de Movilidad y Su Relación con Otras Libertades en el Marco de los Precedentes Jurisprudenciales</b:Title>
    <b:Year>2022</b:Year>
    <b:Author>
      <b:Author>
        <b:NameList>
          <b:Person>
            <b:Last>Astudillo-Lariza</b:Last>
          </b:Person>
          <b:Person>
            <b:Last>Guerra-Marcelo</b:Last>
          </b:Person>
        </b:NameList>
      </b:Author>
    </b:Author>
    <b:JournalName>Polo del Conocimiento</b:JournalName>
    <b:Pages>554</b:Pages>
    <b:RefOrder>1211</b:RefOrder>
  </b:Source>
  <b:Source>
    <b:Tag>Ley09</b:Tag>
    <b:SourceType>Misc</b:SourceType>
    <b:Guid>{639BE1BE-738E-4AC1-8084-7AD95CB78010}</b:Guid>
    <b:Title>Ley Organica de Garantías Jurisdiccionales y Control Constitucional. </b:Title>
    <b:Year>2009</b:Year>
    <b:RefOrder>1212</b:RefOrder>
  </b:Source>
  <b:Source>
    <b:Tag>Fer22</b:Tag>
    <b:SourceType>JournalArticle</b:SourceType>
    <b:Guid>{7852F980-7CAE-46DD-BCDE-A532B5E154A0}</b:Guid>
    <b:Author>
      <b:Author>
        <b:NameList>
          <b:Person>
            <b:Last>Fernandez Carbay</b:Last>
            <b:First>Jonathan</b:First>
          </b:Person>
          <b:Person>
            <b:Last>Correa Calderón</b:Last>
            <b:First>José</b:First>
          </b:Person>
        </b:NameList>
      </b:Author>
    </b:Author>
    <b:Title>La norma constitucional de protecicon de los derechos de la naturaleza y sus incidencias juridicas</b:Title>
    <b:JournalName>Polo del Conocimiento</b:JournalName>
    <b:Year>2022</b:Year>
    <b:RefOrder>1213</b:RefOrder>
  </b:Source>
  <b:Source>
    <b:Tag>Ver20</b:Tag>
    <b:SourceType>JournalArticle</b:SourceType>
    <b:Guid>{780D7652-1E01-49D9-8038-72493931BF98}</b:Guid>
    <b:Author>
      <b:Author>
        <b:NameList>
          <b:Person>
            <b:Last>Vernaza-Arroyo</b:Last>
            <b:First>Girad</b:First>
          </b:Person>
        </b:NameList>
      </b:Author>
    </b:Author>
    <b:Title>Análisis de las Medidas Cautelares Frente a la Jurisdicción Constitucional en el Ecuador</b:Title>
    <b:JournalName>Revista Tecnológica-Educativa Docentes 2.0</b:JournalName>
    <b:Year>2020</b:Year>
    <b:RefOrder>1214</b:RefOrder>
  </b:Source>
  <b:Source>
    <b:Tag>Con78</b:Tag>
    <b:SourceType>Misc</b:SourceType>
    <b:Guid>{AF0E2AE1-255F-4175-A549-8EA8C49E140F}</b:Guid>
    <b:Title>Convención Americana sobre Derechos Humanos (Pacto de San José)</b:Title>
    <b:Year>1978</b:Year>
    <b:Month>Julio</b:Month>
    <b:City>San José</b:City>
    <b:CountryRegion>Costa Rica</b:CountryRegion>
    <b:RefOrder>1215</b:RefOrder>
  </b:Source>
  <b:Source>
    <b:Tag>Wal22</b:Tag>
    <b:SourceType>JournalArticle</b:SourceType>
    <b:Guid>{8A0BC2A9-F71B-4DB3-9BC6-FED5B0D525BE}</b:Guid>
    <b:Title>Los Despidos Intempestivos Post-Pandemia en la Ciudad de Machala</b:Title>
    <b:Year>2022</b:Year>
    <b:Author>
      <b:Author>
        <b:NameList>
          <b:Person>
            <b:Last>Peña Walter</b:Last>
            <b:First>Guido</b:First>
          </b:Person>
          <b:Person>
            <b:Last>Chiriboga Luis</b:Last>
            <b:First>David</b:First>
          </b:Person>
          <b:Person>
            <b:Last>Correa José</b:Last>
            <b:First>Eduardo</b:First>
          </b:Person>
        </b:NameList>
      </b:Author>
    </b:Author>
    <b:JournalName>Polo del Conocimiento</b:JournalName>
    <b:Pages>760</b:Pages>
    <b:RefOrder>1216</b:RefOrder>
  </b:Source>
  <b:Source>
    <b:Tag>Piñ21</b:Tag>
    <b:SourceType>JournalArticle</b:SourceType>
    <b:Guid>{ABE96E4D-2AF3-43FD-996C-D1D0B12862A6}</b:Guid>
    <b:Title>DESPIDO INTEMPESTIVO Y EL DERECHO AL TRABAJO EN ECUADOR EN TIEMPO DE COVID 19</b:Title>
    <b:Year>2021</b:Year>
    <b:Author>
      <b:Author>
        <b:NameList>
          <b:Person>
            <b:Last>Piñas</b:Last>
          </b:Person>
          <b:Person>
            <b:Last>Viteri</b:Last>
          </b:Person>
          <b:Person>
            <b:Last>Alvarez</b:Last>
          </b:Person>
        </b:NameList>
      </b:Author>
    </b:Author>
    <b:JournalName>DILEMAS CONTEMPORANEOS: EDUCACION, POLITICA Y VALORES</b:JournalName>
    <b:Pages>6</b:Pages>
    <b:RefOrder>1217</b:RefOrder>
  </b:Source>
  <b:Source>
    <b:Tag>COM16</b:Tag>
    <b:SourceType>Misc</b:SourceType>
    <b:Guid>{44CD26B3-9D4F-4268-83DC-3666C61E3EC7}</b:Guid>
    <b:Year>2016</b:Year>
    <b:Author>
      <b:Author>
        <b:NameList>
          <b:Person>
            <b:Last>Comsión Nacional Derechos Humanos</b:Last>
          </b:Person>
        </b:NameList>
      </b:Author>
    </b:Author>
    <b:RefOrder>1218</b:RefOrder>
  </b:Source>
  <b:Source>
    <b:Tag>NAC48</b:Tag>
    <b:SourceType>Misc</b:SourceType>
    <b:Guid>{32615119-B2B7-4A8F-BFC0-362BF4FEC6D1}</b:Guid>
    <b:Title>La Declaración Universal de los Derechos Humanos</b:Title>
    <b:Year>1948</b:Year>
    <b:Pages>48</b:Pages>
    <b:Author>
      <b:BookAuthor>
        <b:NameList>
          <b:Person>
            <b:Last>UNIDAS</b:Last>
            <b:First>NACIONES</b:First>
          </b:Person>
        </b:NameList>
      </b:BookAuthor>
    </b:Author>
    <b:RefOrder>1219</b:RefOrder>
  </b:Source>
  <b:Source>
    <b:Tag>MarcadorDePosición113</b:Tag>
    <b:SourceType>Misc</b:SourceType>
    <b:Guid>{7BDBCD16-BDB9-4A26-A39F-8F984EA7B2AD}</b:Guid>
    <b:Title>Ley Orgánica de Servicio Público</b:Title>
    <b:Year>2010</b:Year>
    <b:Publisher>lexis</b:Publisher>
    <b:RefOrder>1220</b:RefOrder>
  </b:Source>
  <b:Source>
    <b:Tag>Mig21</b:Tag>
    <b:SourceType>JournalArticle</b:SourceType>
    <b:Guid>{F7A17B82-5555-4EC2-8276-29DBADB52AD4}</b:Guid>
    <b:Title>La facultad de revisión de la Corte Constitucional en las acciones de protección por el cese de funciones a nombramientos provisionales.</b:Title>
    <b:Year>2021</b:Year>
    <b:Author>
      <b:Author>
        <b:NameList>
          <b:Person>
            <b:Last>Vaca Valdiviezo</b:Last>
            <b:First>Andres</b:First>
          </b:Person>
        </b:NameList>
      </b:Author>
    </b:Author>
    <b:Pages>9</b:Pages>
    <b:RefOrder>1221</b:RefOrder>
  </b:Source>
  <b:Source>
    <b:Tag>CON11</b:Tag>
    <b:SourceType>Misc</b:SourceType>
    <b:Guid>{59A9B1C1-ACD5-49D0-9767-B22F5D704F06}</b:Guid>
    <b:Title>Constitución de la República del Ecuador</b:Title>
    <b:URL>https://www.oas.org/juridico/pdfs/mesicic4_ecu_const.pdf</b:URL>
    <b:Year>2008</b:Year>
    <b:Publisher>LEXIS</b:Publisher>
    <b:RefOrder>1222</b:RefOrder>
  </b:Source>
  <b:Source>
    <b:Tag>SEN15</b:Tag>
    <b:SourceType>Case</b:SourceType>
    <b:Guid>{A944803C-D5DD-40B8-A7A0-8F2E5A1F8EED}</b:Guid>
    <b:Title>Sentencia N. 045-15-SEP-CC</b:Title>
    <b:Year>2015</b:Year>
    <b:CaseNumber>CASO N. 1055-11-EP</b:CaseNumber>
    <b:Court>CORTE CONSTITUCIONAL</b:Court>
    <b:Month>02</b:Month>
    <b:Day>25</b:Day>
    <b:RefOrder>1223</b:RefOrder>
  </b:Source>
  <b:Source>
    <b:Tag>CON30</b:Tag>
    <b:SourceType>Misc</b:SourceType>
    <b:Guid>{6AE9B86F-0E64-48FF-92AA-346A385E5EB3}</b:Guid>
    <b:Title>Constitución del Ecuador</b:Title>
    <b:Year>1830</b:Year>
    <b:City>QUITO</b:City>
    <b:Month>SEPTIEMBRE</b:Month>
    <b:Day>23</b:Day>
    <b:StateProvince>PICHINCA</b:StateProvince>
    <b:CountryRegion>ECUADOR</b:CountryRegion>
    <b:RefOrder>1224</b:RefOrder>
  </b:Source>
  <b:Source>
    <b:Tag>Ala171</b:Tag>
    <b:SourceType>JournalArticle</b:SourceType>
    <b:Guid>{0D9D7BFF-A8D9-4DD5-B1C9-89F7B8C96B94}</b:Guid>
    <b:Author>
      <b:Author>
        <b:Corporate>Alarcón C</b:Corporate>
      </b:Author>
    </b:Author>
    <b:Title>Las estrategias lúdicas como aporte al aprendizaje y desarrollo emocional en los niños preescolares</b:Title>
    <b:JournalName>Scielo </b:JournalName>
    <b:Year>2017</b:Year>
    <b:Pages>12</b:Pages>
    <b:RefOrder>1225</b:RefOrder>
  </b:Source>
  <b:Source>
    <b:Tag>Caj183</b:Tag>
    <b:SourceType>JournalArticle</b:SourceType>
    <b:Guid>{482AFF3C-D13F-44B7-9A9A-9B1B90716D23}</b:Guid>
    <b:Author>
      <b:Author>
        <b:Corporate>Cajarmaca C</b:Corporate>
      </b:Author>
    </b:Author>
    <b:Title>La lúdica como parte del ámbito educativo</b:Title>
    <b:JournalName>Dialnet</b:JournalName>
    <b:Year>2018</b:Year>
    <b:Pages>22</b:Pages>
    <b:RefOrder>1226</b:RefOrder>
  </b:Source>
  <b:Source>
    <b:Tag>MarcadorDePosición114</b:Tag>
    <b:SourceType>JournalArticle</b:SourceType>
    <b:Guid>{3F603220-7CC9-4066-B743-41AFA2AAF96D}</b:Guid>
    <b:Title>La Educación emocional y su importancia en el proceso de aprendizaje</b:Title>
    <b:Year>2018</b:Year>
    <b:Author>
      <b:Author>
        <b:Corporate>García R</b:Corporate>
      </b:Author>
    </b:Author>
    <b:JournalName>Revista de Educación</b:JournalName>
    <b:Pages>24</b:Pages>
    <b:RefOrder>1227</b:RefOrder>
  </b:Source>
  <b:Source>
    <b:Tag>Pil17</b:Tag>
    <b:SourceType>Report</b:SourceType>
    <b:Guid>{D1DBF52C-A75F-40DD-94C4-D2257055FD92}</b:Guid>
    <b:Author>
      <b:Author>
        <b:Corporate>Pilataxi E</b:Corporate>
      </b:Author>
    </b:Author>
    <b:Title>Nivel de Inteligencia Emocional en estudiantes de séptimo año de EGB.</b:Title>
    <b:Year>2018</b:Year>
    <b:Publisher>UCE</b:Publisher>
    <b:City>Quito</b:City>
    <b:RefOrder>1228</b:RefOrder>
  </b:Source>
  <b:Source>
    <b:Tag>MarcadorDePosición115</b:Tag>
    <b:SourceType>Book</b:SourceType>
    <b:Guid>{2E7F3386-18EF-4020-ABD9-F12B324D33F2}</b:Guid>
    <b:Author>
      <b:Author>
        <b:Corporate>Gruell M</b:Corporate>
      </b:Author>
    </b:Author>
    <b:Title>La inteligencia emocional y el nivel de desempeño de los niños y niñas</b:Title>
    <b:Year>2019</b:Year>
    <b:City>España</b:City>
    <b:Publisher>Paidos</b:Publisher>
    <b:RefOrder>1229</b:RefOrder>
  </b:Source>
  <b:Source>
    <b:Tag>Mat16</b:Tag>
    <b:SourceType>Book</b:SourceType>
    <b:Guid>{26CF6A0E-C640-49A6-B7E2-C9F97005F962}</b:Guid>
    <b:Author>
      <b:Author>
        <b:Corporate>Maturana M</b:Corporate>
      </b:Author>
    </b:Author>
    <b:Title>Las acciones humanas y su propósito emocional</b:Title>
    <b:Year>2019</b:Year>
    <b:City>México</b:City>
    <b:Publisher>Trillas</b:Publisher>
    <b:RefOrder>1230</b:RefOrder>
  </b:Source>
  <b:Source>
    <b:Tag>Tan20</b:Tag>
    <b:SourceType>JournalArticle</b:SourceType>
    <b:Guid>{1F7F8B34-6199-4EEF-BDFF-0606F33F948F}</b:Guid>
    <b:Title>Emociones y aprendizaje una círculo directo</b:Title>
    <b:Year>2020</b:Year>
    <b:Author>
      <b:Author>
        <b:Corporate>Villacís T</b:Corporate>
      </b:Author>
    </b:Author>
    <b:Month>05</b:Month>
    <b:Day>26</b:Day>
    <b:URL>https://unae.edu.ec/noticias/emociones-y-aprendizaje/</b:URL>
    <b:JournalName>Scielo</b:JournalName>
    <b:Pages>24</b:Pages>
    <b:RefOrder>1231</b:RefOrder>
  </b:Source>
  <b:Source>
    <b:Tag>Gru18</b:Tag>
    <b:SourceType>Book</b:SourceType>
    <b:Guid>{E928AB2B-DF79-43E9-B743-742D18D3324C}</b:Guid>
    <b:Author>
      <b:Author>
        <b:Corporate>Figueroa C</b:Corporate>
      </b:Author>
    </b:Author>
    <b:Title>Desarrollo emocional y el nivel de desempeño de los niños y niñas</b:Title>
    <b:Year>2019</b:Year>
    <b:City>España</b:City>
    <b:Publisher>Paidos</b:Publisher>
    <b:RefOrder>1232</b:RefOrder>
  </b:Source>
  <b:Source>
    <b:Tag>MarcadorDePosición116</b:Tag>
    <b:SourceType>JournalArticle</b:SourceType>
    <b:Guid>{EB75CC97-F566-496B-A391-62D335111A15}</b:Guid>
    <b:Author>
      <b:Author>
        <b:Corporate>Cejudo J</b:Corporate>
      </b:Author>
    </b:Author>
    <b:Title>Importancia del estado emocional en la práctica docente: un estudio con maestros</b:Title>
    <b:JournalName>Psicología Educativa</b:JournalName>
    <b:Year>2018</b:Year>
    <b:Pages>30</b:Pages>
    <b:RefOrder>1233</b:RefOrder>
  </b:Source>
  <b:Source>
    <b:Tag>Gar202</b:Tag>
    <b:SourceType>JournalArticle</b:SourceType>
    <b:Guid>{A7734D3C-414C-40DD-926A-B3DC8A4A87BC}</b:Guid>
    <b:Author>
      <b:Author>
        <b:Corporate>García C</b:Corporate>
      </b:Author>
    </b:Author>
    <b:Title>El estado emocional en el desarrollo de la trayectoria académica de los estudiantes</b:Title>
    <b:Year>2020</b:Year>
    <b:JournalName>Scielo</b:JournalName>
    <b:Pages>6</b:Pages>
    <b:RefOrder>1234</b:RefOrder>
  </b:Source>
  <b:Source>
    <b:Tag>Sim14</b:Tag>
    <b:SourceType>Report</b:SourceType>
    <b:Guid>{0D262B2A-3D2B-4ED9-B007-2F5D29D67C8C}</b:Guid>
    <b:Author>
      <b:Author>
        <b:Corporate>Guambaña S</b:Corporate>
      </b:Author>
    </b:Author>
    <b:Title>El desarrollo del estado emocional en el proceso de enseñanza-aprendizaje de los niños </b:Title>
    <b:Year>2018</b:Year>
    <b:Publisher>UPS</b:Publisher>
    <b:City>Cuenca</b:City>
    <b:RefOrder>1235</b:RefOrder>
  </b:Source>
  <b:Source>
    <b:Tag>Cab18</b:Tag>
    <b:SourceType>JournalArticle</b:SourceType>
    <b:Guid>{D4B1D03D-5A91-445F-9430-A9E90B6EA2B0}</b:Guid>
    <b:Author>
      <b:Author>
        <b:Corporate>Cabezas E</b:Corporate>
      </b:Author>
    </b:Author>
    <b:Title>Estrategia lúdica para la enseñanza – caso práctico con los estudiantes</b:Title>
    <b:JournalName>Espacios</b:JournalName>
    <b:Year>2018</b:Year>
    <b:Pages>6</b:Pages>
    <b:RefOrder>1236</b:RefOrder>
  </b:Source>
  <b:Source>
    <b:Tag>Gut182</b:Tag>
    <b:SourceType>JournalArticle</b:SourceType>
    <b:Guid>{3A642EAA-DF70-44BC-8959-189177FBB045}</b:Guid>
    <b:Author>
      <b:Author>
        <b:Corporate>Gutiérrez P</b:Corporate>
      </b:Author>
    </b:Author>
    <b:Title>Importancia de la aplicación del aprendizaje lúdico</b:Title>
    <b:JournalName>Revista Infantil Guaytambitos</b:JournalName>
    <b:Year>2018</b:Year>
    <b:Pages>11</b:Pages>
    <b:RefOrder>1237</b:RefOrder>
  </b:Source>
  <b:Source>
    <b:Tag>MarcadorDePosición117</b:Tag>
    <b:SourceType>JournalArticle</b:SourceType>
    <b:Guid>{998B79E2-6814-4404-AF15-FC05C883C07D}</b:Guid>
    <b:Author>
      <b:Author>
        <b:Corporate>Yumbo C</b:Corporate>
      </b:Author>
    </b:Author>
    <b:Title>El juego como estrategia lúdica para fortalecer el aprendizaje de los estudiantes</b:Title>
    <b:JournalName>Dialnet</b:JournalName>
    <b:Year>2018</b:Year>
    <b:Pages>6</b:Pages>
    <b:RefOrder>1238</b:RefOrder>
  </b:Source>
  <b:Source>
    <b:Tag>Cór171</b:Tag>
    <b:SourceType>JournalArticle</b:SourceType>
    <b:Guid>{E4EEBC80-3377-4552-90CE-7D2831887CC3}</b:Guid>
    <b:Author>
      <b:Author>
        <b:Corporate>Córdova E</b:Corporate>
      </b:Author>
    </b:Author>
    <b:Title>El juego como estrategia lúdica para la educación inclusiva del buen vivir</b:Title>
    <b:JournalName>Scielo</b:JournalName>
    <b:Year>2019</b:Year>
    <b:Pages>85</b:Pages>
    <b:RefOrder>1239</b:RefOrder>
  </b:Source>
  <b:Source>
    <b:Tag>Mor191</b:Tag>
    <b:SourceType>JournalArticle</b:SourceType>
    <b:Guid>{918513E4-527F-4103-8495-097B2402C0CD}</b:Guid>
    <b:Author>
      <b:Author>
        <b:Corporate>Moreira Y</b:Corporate>
      </b:Author>
    </b:Author>
    <b:Title>La lúdica y su concepción renovadora e inclusiva en la educación inicial</b:Title>
    <b:JournalName>Scielo</b:JournalName>
    <b:Year>2019</b:Year>
    <b:Pages>3</b:Pages>
    <b:RefOrder>1240</b:RefOrder>
  </b:Source>
  <b:Source>
    <b:Tag>Rub18</b:Tag>
    <b:SourceType>JournalArticle</b:SourceType>
    <b:Guid>{01261F71-72F6-4852-9BDF-575E9FE1A1D9}</b:Guid>
    <b:Author>
      <b:Author>
        <b:Corporate>Rubicela W</b:Corporate>
      </b:Author>
    </b:Author>
    <b:Title>Estudio de las estrategias lúdicas y su influencia en el rendimiento académico de los estudiantes</b:Title>
    <b:Year>2018</b:Year>
    <b:JournalName>Scielo</b:JournalName>
    <b:Pages>72</b:Pages>
    <b:RefOrder>1241</b:RefOrder>
  </b:Source>
  <b:Source>
    <b:Tag>Fig188</b:Tag>
    <b:SourceType>JournalArticle</b:SourceType>
    <b:Guid>{B150806F-CF6D-4C0C-9A76-8C02E0D516ED}</b:Guid>
    <b:Author>
      <b:Author>
        <b:Corporate>Figueroa M</b:Corporate>
      </b:Author>
    </b:Author>
    <b:Title>El desarrollo de las emociones en los niños</b:Title>
    <b:Year>2018</b:Year>
    <b:JournalName>Educación y ciencia </b:JournalName>
    <b:Pages>45</b:Pages>
    <b:RefOrder>1242</b:RefOrder>
  </b:Source>
  <b:Source>
    <b:Tag>Mor184</b:Tag>
    <b:SourceType>JournalArticle</b:SourceType>
    <b:Guid>{131FF4E3-DBA7-4A7B-93A9-4F12E7461452}</b:Guid>
    <b:Author>
      <b:Author>
        <b:Corporate>Moreno C</b:Corporate>
      </b:Author>
    </b:Author>
    <b:Title>La inteligencia emocional y el control de la misma en los niños </b:Title>
    <b:JournalName>Scielo </b:JournalName>
    <b:Year>2018</b:Year>
    <b:Pages>33</b:Pages>
    <b:RefOrder>1243</b:RefOrder>
  </b:Source>
  <b:Source>
    <b:Tag>Arm195</b:Tag>
    <b:SourceType>JournalArticle</b:SourceType>
    <b:Guid>{9414DC82-627D-44D0-A655-DF624266F413}</b:Guid>
    <b:Author>
      <b:Author>
        <b:Corporate>Armendáriz M</b:Corporate>
      </b:Author>
    </b:Author>
    <b:Title>El desarrollo y control de las emociones </b:Title>
    <b:JournalName>Revista de Educación y Ciencia </b:JournalName>
    <b:Year>2019</b:Year>
    <b:Pages>34</b:Pages>
    <b:RefOrder>1244</b:RefOrder>
  </b:Source>
  <b:Source>
    <b:Tag>San1916</b:Tag>
    <b:SourceType>JournalArticle</b:SourceType>
    <b:Guid>{996CCC83-97E7-45B6-8CEC-8B25AE6F0056}</b:Guid>
    <b:Author>
      <b:Author>
        <b:Corporate>Santander C</b:Corporate>
      </b:Author>
    </b:Author>
    <b:Title>La lúdica como aporte en el desarrollo del aprendizaje de los niños</b:Title>
    <b:JournalName>Revista Iberoamericana</b:JournalName>
    <b:Year>2019</b:Year>
    <b:Pages>45</b:Pages>
    <b:RefOrder>1245</b:RefOrder>
  </b:Source>
  <b:Source>
    <b:Tag>Tej194</b:Tag>
    <b:SourceType>JournalArticle</b:SourceType>
    <b:Guid>{841A5C43-E7F2-482B-B9C8-0825D3C6ED46}</b:Guid>
    <b:Author>
      <b:Author>
        <b:Corporate>Tejerina M</b:Corporate>
      </b:Author>
    </b:Author>
    <b:Title>El desarrollo de las habilidades y destrezas bajo el aporte que brindan las actividades lúdicas</b:Title>
    <b:JournalName>Revista Iberoamericana</b:JournalName>
    <b:Year>2019</b:Year>
    <b:Pages>34</b:Pages>
    <b:RefOrder>1246</b:RefOrder>
  </b:Source>
  <b:Source>
    <b:Tag>Sev20</b:Tag>
    <b:SourceType>JournalArticle</b:SourceType>
    <b:Guid>{6D77B89C-946A-43F9-A182-8DE0C3D54B88}</b:Guid>
    <b:Author>
      <b:Author>
        <b:Corporate>Sevilla C</b:Corporate>
      </b:Author>
    </b:Author>
    <b:Title>El desarrollo de las emociones en los niños</b:Title>
    <b:JournalName>Dialnet</b:JournalName>
    <b:Year>2020</b:Year>
    <b:Pages>12</b:Pages>
    <b:RefOrder>1247</b:RefOrder>
  </b:Source>
  <b:Source>
    <b:Tag>MarcadorDePosición118</b:Tag>
    <b:SourceType>JournalArticle</b:SourceType>
    <b:Guid>{8DB73126-A408-44EE-8B48-FF4F18FA03AA}</b:Guid>
    <b:Author>
      <b:Author>
        <b:Corporate>Carrillo C</b:Corporate>
      </b:Author>
    </b:Author>
    <b:Title>Los espacios de aprendizaje en el desarrollo de la enseñanza </b:Title>
    <b:JournalName>Revista Iberoamericana</b:JournalName>
    <b:Year>2019</b:Year>
    <b:Pages>12</b:Pages>
    <b:RefOrder>1248</b:RefOrder>
  </b:Source>
  <b:Source>
    <b:Tag>Cas185</b:Tag>
    <b:SourceType>JournalArticle</b:SourceType>
    <b:Guid>{2D05DFC3-4A7A-47AC-9D98-C4710B57EDAC}</b:Guid>
    <b:Author>
      <b:Author>
        <b:Corporate>Castillo M</b:Corporate>
      </b:Author>
    </b:Author>
    <b:Title>El desarrollo emocional</b:Title>
    <b:JournalName>Educación y Ciencia </b:JournalName>
    <b:Year>2018</b:Year>
    <b:Pages>23</b:Pages>
    <b:RefOrder>1249</b:RefOrder>
  </b:Source>
  <b:Source>
    <b:Tag>Rey183</b:Tag>
    <b:SourceType>JournalArticle</b:SourceType>
    <b:Guid>{C3C93123-F2FC-4913-A936-565A4C7E46BC}</b:Guid>
    <b:Title>La planeación de clase; una tarea fundamental en el rendimiento escolar</b:Title>
    <b:Year>2018</b:Year>
    <b:Author>
      <b:Author>
        <b:Corporate>Reyes J</b:Corporate>
      </b:Author>
    </b:Author>
    <b:JournalName>Maestro y Sociedad</b:JournalName>
    <b:Pages>88</b:Pages>
    <b:RefOrder>1250</b:RefOrder>
  </b:Source>
  <b:Source>
    <b:Tag>Ort17</b:Tag>
    <b:SourceType>Report</b:SourceType>
    <b:Guid>{6A1F42A5-7B47-4B49-851E-8C9466455B3E}</b:Guid>
    <b:Title>Hábitos de estudio y rendimiento académico</b:Title>
    <b:Year>2017</b:Year>
    <b:Author>
      <b:Author>
        <b:Corporate>Ortega B</b:Corporate>
      </b:Author>
    </b:Author>
    <b:City>Perú</b:City>
    <b:Publisher>Universidad San Ignacio de Loyola</b:Publisher>
    <b:RefOrder>1251</b:RefOrder>
  </b:Source>
  <b:Source>
    <b:Tag>Osh18</b:Tag>
    <b:SourceType>Book</b:SourceType>
    <b:Guid>{C4EAF416-B8D1-4FF3-A6FE-7363E1FC0258}</b:Guid>
    <b:Author>
      <b:Author>
        <b:Corporate>Oshin V</b:Corporate>
      </b:Author>
    </b:Author>
    <b:Title>La dinámica familiar y su relación con la predisposición a la ludopatía</b:Title>
    <b:Year>2018</b:Year>
    <b:City>New York</b:City>
    <b:Publisher>Mac Graw Hill</b:Publisher>
    <b:RefOrder>1252</b:RefOrder>
  </b:Source>
  <b:Source>
    <b:Tag>Tor182</b:Tag>
    <b:SourceType>JournalArticle</b:SourceType>
    <b:Guid>{96BF3B07-D4E2-4D68-826F-44CD40A28798}</b:Guid>
    <b:Title>El proceso de enseñanza aprendizaje medido por el rendimiento escolar de los estudiantes</b:Title>
    <b:Year>2018</b:Year>
    <b:Author>
      <b:Author>
        <b:Corporate>Torres C</b:Corporate>
      </b:Author>
    </b:Author>
    <b:Pages>22</b:Pages>
    <b:JournalName>Revista de educación y ciencia</b:JournalName>
    <b:RefOrder>1253</b:RefOrder>
  </b:Source>
  <b:Source>
    <b:Tag>Cai171</b:Tag>
    <b:SourceType>Report</b:SourceType>
    <b:Guid>{10ECF4B5-0024-4D2C-BC72-E27FF574CD4E}</b:Guid>
    <b:Title>El rendimiento académico y su influencia en la autoestima de los niños</b:Title>
    <b:Year>2017</b:Year>
    <b:Author>
      <b:Author>
        <b:Corporate>Caiza M</b:Corporate>
      </b:Author>
    </b:Author>
    <b:Publisher>Universidad Técnica de Ambato</b:Publisher>
    <b:City>Ambato-Ecuador</b:City>
    <b:RefOrder>1254</b:RefOrder>
  </b:Source>
  <b:Source>
    <b:Tag>Mad171</b:Tag>
    <b:SourceType>Report</b:SourceType>
    <b:Guid>{AB9342D1-00A7-4FAF-809D-7D9AAB130C3A}</b:Guid>
    <b:Author>
      <b:Author>
        <b:Corporate>Madroñero D</b:Corporate>
      </b:Author>
    </b:Author>
    <b:Title>La importancia de la motivación a los estudiantes</b:Title>
    <b:Year>2017</b:Year>
    <b:City>México</b:City>
    <b:Publisher>Universidad Tecvirtual Escuela de Graduados en Educación</b:Publisher>
    <b:RefOrder>1255</b:RefOrder>
  </b:Source>
  <b:Source>
    <b:Tag>Pov18</b:Tag>
    <b:SourceType>Report</b:SourceType>
    <b:Guid>{86744DF1-E830-4756-828F-E0A849D0C208}</b:Guid>
    <b:Author>
      <b:Author>
        <b:Corporate>Poveda S</b:Corporate>
      </b:Author>
    </b:Author>
    <b:Title>Importancia de la motivación en el aprendizaje de los niños</b:Title>
    <b:Year>2018</b:Year>
    <b:Publisher>Universidad de la Sabana</b:Publisher>
    <b:City>Chía- Colombia</b:City>
    <b:RefOrder>1256</b:RefOrder>
  </b:Source>
  <b:Source>
    <b:Tag>MarcadorDePosición119</b:Tag>
    <b:SourceType>JournalArticle</b:SourceType>
    <b:Guid>{B02ED1A1-AAA2-4F58-890C-C90FE91DEF07}</b:Guid>
    <b:Author>
      <b:Author>
        <b:Corporate>Llamas H</b:Corporate>
      </b:Author>
    </b:Author>
    <b:Title>Niveles de rendimiento escolar</b:Title>
    <b:Year>2017</b:Year>
    <b:JournalName>Scielo</b:JournalName>
    <b:Pages>23</b:Pages>
    <b:RefOrder>1257</b:RefOrder>
  </b:Source>
  <b:Source>
    <b:Tag>Mar201</b:Tag>
    <b:SourceType>JournalArticle</b:SourceType>
    <b:Guid>{BB3BCD54-D265-45CE-B16B-787131876BBA}</b:Guid>
    <b:Author>
      <b:Author>
        <b:Corporate>Martínez G</b:Corporate>
      </b:Author>
    </b:Author>
    <b:Title>El contexto familiar y su vinculación con el rendimiento académico</b:Title>
    <b:JournalName>Revista de Investigación Educativa de la REDIECH</b:JournalName>
    <b:Year>2020</b:Year>
    <b:Pages>1</b:Pages>
    <b:URL>https://www.redalyc.org/journal/5216/521662150008/html/</b:URL>
    <b:RefOrder>1258</b:RefOrder>
  </b:Source>
  <b:Source>
    <b:Tag>Mon203</b:Tag>
    <b:SourceType>Report</b:SourceType>
    <b:Guid>{F44C511B-07D2-4A26-BA4A-D1484CCE7F6A}</b:Guid>
    <b:Title>El entorno familiar y su influencia en el proceso de aprendizaje</b:Title>
    <b:Year>2020</b:Year>
    <b:Author>
      <b:Author>
        <b:Corporate>Monier D</b:Corporate>
      </b:Author>
    </b:Author>
    <b:Publisher>Universidad Laica Vicente Rocafuerte de Guayaquil</b:Publisher>
    <b:City>Guayaquil-Ecuador</b:City>
    <b:URL>http://repositorio.ulvr.edu.ec/bitstream/44000/4097/1/T-ULVR-3419.pdf</b:URL>
    <b:RefOrder>1259</b:RefOrder>
  </b:Source>
  <b:Source>
    <b:Tag>Guz21</b:Tag>
    <b:SourceType>JournalArticle</b:SourceType>
    <b:Guid>{4B67CCD5-6596-4D15-8140-AD0EA8145A7D}</b:Guid>
    <b:Title>El entorno familiar y su influencia en el rendimiento escolar de los alumnos del nivel primario</b:Title>
    <b:Year>2021</b:Year>
    <b:Author>
      <b:Author>
        <b:Corporate>Guzmán Y</b:Corporate>
      </b:Author>
    </b:Author>
    <b:JournalName>UCE Ciencia. Revista de postgrado</b:JournalName>
    <b:Pages>1</b:Pages>
    <b:URL>file:///C:/Users/Usuario/AppData/Local/Temp/222-847-1-PB.pdf</b:URL>
    <b:RefOrder>1260</b:RefOrder>
  </b:Source>
  <b:Source>
    <b:Tag>Riv20</b:Tag>
    <b:SourceType>Report</b:SourceType>
    <b:Guid>{4BCB0F06-856E-41B6-BB84-CB52C0B8BD60}</b:Guid>
    <b:Title>Influencia de las relaciones familiares en el rendimiento escolar de los niños y niñas del grado</b:Title>
    <b:Year>2020</b:Year>
    <b:Author>
      <b:Author>
        <b:Corporate>Rivera C</b:Corporate>
      </b:Author>
    </b:Author>
    <b:Publisher>Universidad Nacional Abierta y a Distancia- UNAD</b:Publisher>
    <b:City>Cumbal</b:City>
    <b:URL>https://repository.unad.edu.co/bitstream/handle/10596/34232/cdriverab.pdf?sequence=1&amp;isAllowed=y</b:URL>
    <b:RefOrder>1261</b:RefOrder>
  </b:Source>
  <b:Source>
    <b:Tag>Nar17</b:Tag>
    <b:SourceType>Report</b:SourceType>
    <b:Guid>{3FCDE650-D672-4C0B-80BC-2FD7A6B8D6B1}</b:Guid>
    <b:Author>
      <b:Author>
        <b:Corporate>Narváez M</b:Corporate>
      </b:Author>
    </b:Author>
    <b:Title>Ambientes familiares y su influencia en la educación inicial de los niños y niñas</b:Title>
    <b:Year>2017</b:Year>
    <b:Publisher>Universidad De San Buenaventura Cartagena</b:Publisher>
    <b:City>Cartagena, Colombia</b:City>
    <b:RefOrder>1262</b:RefOrder>
  </b:Source>
  <b:Source>
    <b:Tag>Tan17</b:Tag>
    <b:SourceType>Report</b:SourceType>
    <b:Guid>{1E307F3E-79D1-4D27-BF33-C67473D619E9}</b:Guid>
    <b:Author>
      <b:Author>
        <b:Corporate>Tandazo D</b:Corporate>
      </b:Author>
    </b:Author>
    <b:Title>Análisis de la influencia del entorno familiar en el rendimiento escolar en los alumnos y alumnas </b:Title>
    <b:Year>2017</b:Year>
    <b:Publisher>Pontificia Universidad Católica del Ecuador</b:Publisher>
    <b:City>Esmeraldas-Ecuador</b:City>
    <b:URL>https://repositorio.pucese.edu.ec/bitstream/123456789/1098/1/TANDAZO%20L%c3%93PEZ%20DENIA%20NARCISA.pdf</b:URL>
    <b:RefOrder>1263</b:RefOrder>
  </b:Source>
  <b:Source>
    <b:Tag>Mar183</b:Tag>
    <b:SourceType>Report</b:SourceType>
    <b:Guid>{7DF05050-3DBC-4D53-9F5C-AD166203E22E}</b:Guid>
    <b:Author>
      <b:Author>
        <b:Corporate>Marín I</b:Corporate>
      </b:Author>
    </b:Author>
    <b:Title>Influencia de las relaciones familiares en la primera infanci</b:Title>
    <b:Year>2018</b:Year>
    <b:Publisher>Universidad Autónoma del Estado de México</b:Publisher>
    <b:City>México</b:City>
    <b:RefOrder>1264</b:RefOrder>
  </b:Source>
  <b:Source>
    <b:Tag>Gal164</b:Tag>
    <b:SourceType>Book</b:SourceType>
    <b:Guid>{42AC08BE-8689-4177-B363-30736A9054E0}</b:Guid>
    <b:Author>
      <b:Author>
        <b:Corporate>Gallardo M</b:Corporate>
      </b:Author>
    </b:Author>
    <b:Title>El aprendizaje humano</b:Title>
    <b:Year>2018</b:Year>
    <b:City>España</b:City>
    <b:Publisher>Alba</b:Publisher>
    <b:RefOrder>1265</b:RefOrder>
  </b:Source>
  <b:Source>
    <b:Tag>Gil18</b:Tag>
    <b:SourceType>Book</b:SourceType>
    <b:Guid>{A1270FA2-4CA8-486E-B340-4296DF004EF1}</b:Guid>
    <b:Author>
      <b:Author>
        <b:Corporate>Giler R</b:Corporate>
      </b:Author>
    </b:Author>
    <b:Title>El aprendizaje activo en los humanos como fuente de enseñanza</b:Title>
    <b:Year>2018</b:Year>
    <b:City>España</b:City>
    <b:Publisher>Paidos</b:Publisher>
    <b:RefOrder>1266</b:RefOrder>
  </b:Source>
  <b:Source>
    <b:Tag>Bia17</b:Tag>
    <b:SourceType>Book</b:SourceType>
    <b:Guid>{2DC1E771-AB1D-471F-9F32-6596E882387E}</b:Guid>
    <b:Author>
      <b:Author>
        <b:Corporate>Bianos M</b:Corporate>
      </b:Author>
    </b:Author>
    <b:Title>El aprendizaje como resultado de la enseñanza</b:Title>
    <b:Year>2017</b:Year>
    <b:City>Italia </b:City>
    <b:Publisher>Mandadori</b:Publisher>
    <b:RefOrder>1267</b:RefOrder>
  </b:Source>
  <b:Source>
    <b:Tag>Baz191</b:Tag>
    <b:SourceType>Report</b:SourceType>
    <b:Guid>{D325D60A-8204-4A05-B13D-CCB8C724CDFA}</b:Guid>
    <b:Title>El desempeño docente y su relación con el aprendizaje</b:Title>
    <b:Year>2019</b:Year>
    <b:Publisher>Universidad Nacional José Faustino Sánchez Carión</b:Publisher>
    <b:City>Huacho, Perú</b:City>
    <b:Author>
      <b:Author>
        <b:Corporate>Bazo J</b:Corporate>
      </b:Author>
    </b:Author>
    <b:ThesisType>Tesis</b:ThesisType>
    <b:RefOrder>1268</b:RefOrder>
  </b:Source>
  <b:Source>
    <b:Tag>MarcadorDePosición120</b:Tag>
    <b:SourceType>JournalArticle</b:SourceType>
    <b:Guid>{E605060B-DEE6-4E0F-95BE-9F7FA1352CE4}</b:Guid>
    <b:Title>El rol docente y la comunicación como instancia en la construcción del conocimiento.</b:Title>
    <b:JournalName>Scielo</b:JournalName>
    <b:Year>2021</b:Year>
    <b:Pages>27</b:Pages>
    <b:Author>
      <b:Author>
        <b:Corporate>Castel R</b:Corporate>
      </b:Author>
    </b:Author>
    <b:RefOrder>1269</b:RefOrder>
  </b:Source>
  <b:Source>
    <b:Tag>Orb16</b:Tag>
    <b:SourceType>Report</b:SourceType>
    <b:Guid>{276EFB84-25D8-442F-B606-2FAE4EC55ECB}</b:Guid>
    <b:Title>Desempeño docentes en el Colegio Nacional San Pablo de Otavalo</b:Title>
    <b:Year>2016</b:Year>
    <b:Publisher>Universidad Politécnica Salesiana</b:Publisher>
    <b:City>Quito</b:City>
    <b:Author>
      <b:Author>
        <b:Corporate>Orbe L</b:Corporate>
      </b:Author>
    </b:Author>
    <b:RefOrder>1270</b:RefOrder>
  </b:Source>
  <b:Source>
    <b:Tag>Mon172</b:Tag>
    <b:SourceType>JournalArticle</b:SourceType>
    <b:Guid>{148C3A18-D069-46BD-9DEB-155AA048FF04}</b:Guid>
    <b:Author>
      <b:Author>
        <b:Corporate>Montes E</b:Corporate>
      </b:Author>
    </b:Author>
    <b:Title>Qué implica hablar de calidad educativa</b:Title>
    <b:Year>2017</b:Year>
    <b:City>Perú</b:City>
    <b:Pages>2</b:Pages>
    <b:JournalName>Scielo</b:JournalName>
    <b:RefOrder>1271</b:RefOrder>
  </b:Source>
  <b:Source>
    <b:Tag>MarcadorDePosición121</b:Tag>
    <b:SourceType>JournalArticle</b:SourceType>
    <b:Guid>{89BEE57E-D190-4A50-A5AE-B6502C477EBA}</b:Guid>
    <b:Title>El desempeño del docente como factor asociado a la calidad educativa en A mérica Latina</b:Title>
    <b:JournalName>Revista Educación</b:JournalName>
    <b:Year>2018</b:Year>
    <b:Pages>13</b:Pages>
    <b:Volume>42</b:Volume>
    <b:Issue>2</b:Issue>
    <b:Author>
      <b:Author>
        <b:Corporate>Estupiñan E</b:Corporate>
      </b:Author>
    </b:Author>
    <b:RefOrder>1272</b:RefOrder>
  </b:Source>
  <b:Source>
    <b:Tag>Jua18</b:Tag>
    <b:SourceType>Report</b:SourceType>
    <b:Guid>{28C9F923-DE75-4BAD-9B21-9F1C9C8EF50B}</b:Guid>
    <b:Author>
      <b:Author>
        <b:Corporate>Juarez M</b:Corporate>
      </b:Author>
    </b:Author>
    <b:Title>Entorno familiar y su relación con el desarrollo del área del lenguaje en niños</b:Title>
    <b:Year>2018</b:Year>
    <b:Publisher>Universidad Privada Norbert Wiener</b:Publisher>
    <b:City>Lima-Perú</b:City>
    <b:URL>http://repositorio.uwiener.edu.pe/bitstream/handle/123456789/2415/TESIS%20Juarez%20Maria%20-%20Ordo%C3%B1ez%20Danny.pdf?sequence=1&amp;isAllowed=y</b:URL>
    <b:RefOrder>1273</b:RefOrder>
  </b:Source>
  <b:Source>
    <b:Tag>Peñ184</b:Tag>
    <b:SourceType>Report</b:SourceType>
    <b:Guid>{C547CEDE-9B58-449A-87EF-3FC5224B3148}</b:Guid>
    <b:Author>
      <b:Author>
        <b:Corporate>Peña V</b:Corporate>
      </b:Author>
    </b:Author>
    <b:Title>El entorno familiar y su influencia en el rendimiento académico de los niños y niñas</b:Title>
    <b:Year>2018</b:Year>
    <b:Publisher>Universidad César Vallejo</b:Publisher>
    <b:City>Perú</b:City>
    <b:URL>https://repositorio.ucv.edu.pe/bitstream/handle/20.500.12692/32274/pe%c3%b1a_pv.pdf?sequence=1&amp;isAllowed=y</b:URL>
    <b:RefOrder>1274</b:RefOrder>
  </b:Source>
  <b:Source>
    <b:Tag>Tor21</b:Tag>
    <b:SourceType>Report</b:SourceType>
    <b:Guid>{B20C424A-0950-43EE-9BD5-480BB427146D}</b:Guid>
    <b:Author>
      <b:Author>
        <b:Corporate>Torres J</b:Corporate>
      </b:Author>
    </b:Author>
    <b:Title>Clima familiar y rendimiento académico en alumnos</b:Title>
    <b:Year>2021</b:Year>
    <b:Publisher>Universidad Ricardo Palma</b:Publisher>
    <b:City>Lima-Perú</b:City>
    <b:URL>http://repositorio.urp.edu.pe/bitstream/handle/URP/4137/PSIC-T030_72002022_T%20%20%20ELIAS%20TORRES%20JIMENA%20DEL%20ROSARIO.pdf?sequence=1&amp;isAllowed=y</b:URL>
    <b:RefOrder>1275</b:RefOrder>
  </b:Source>
  <b:Source>
    <b:Tag>Gon181</b:Tag>
    <b:SourceType>Report</b:SourceType>
    <b:Guid>{B4C68AB3-26E1-4C37-B489-F083F0BE16A8}</b:Guid>
    <b:Author>
      <b:Author>
        <b:Corporate>González H</b:Corporate>
      </b:Author>
    </b:Author>
    <b:Title>Distintos tipos de familia, distintos tipos de rendimiento académico</b:Title>
    <b:Year>2018</b:Year>
    <b:Publisher>Universidad de la Laguna</b:Publisher>
    <b:City>España</b:City>
    <b:URL>https://riull.ull.es/xmlui/bitstream/handle/915/15721/Distintostiposdefamilia%2Cdistintostiposderendimientoacademico..pdf?sequence=1</b:URL>
    <b:RefOrder>1276</b:RefOrder>
  </b:Source>
  <b:Source>
    <b:Tag>Cas178</b:Tag>
    <b:SourceType>JournalArticle</b:SourceType>
    <b:Guid>{EF34F64D-92E5-4CBC-870B-9937872F9F72}</b:Guid>
    <b:Title>Importancia del entorno familiar </b:Title>
    <b:Year>2017</b:Year>
    <b:Author>
      <b:Author>
        <b:Corporate>Castro H</b:Corporate>
      </b:Author>
    </b:Author>
    <b:JournalName>Scielo</b:JournalName>
    <b:Pages>44</b:Pages>
    <b:RefOrder>1277</b:RefOrder>
  </b:Source>
  <b:Source>
    <b:Tag>Ros175</b:Tag>
    <b:SourceType>Report</b:SourceType>
    <b:Guid>{5CEB8E55-F747-4EA3-8823-339EFB71C412}</b:Guid>
    <b:Title>Constructivismo y prácticas escolares de las instituciones de educación</b:Title>
    <b:Year>2017</b:Year>
    <b:Author>
      <b:Author>
        <b:Corporate>Rosero A</b:Corporate>
      </b:Author>
    </b:Author>
    <b:Publisher>Universidad Politécnica Salesiana</b:Publisher>
    <b:City>Quito</b:City>
    <b:URL>https://dspace.ups.edu.ec/bitstream/123456789/14753/1/UPS-QT12019.pdf</b:URL>
    <b:RefOrder>1278</b:RefOrder>
  </b:Source>
  <b:Source>
    <b:Tag>Ort183</b:Tag>
    <b:SourceType>JournalArticle</b:SourceType>
    <b:Guid>{B07B9DD2-A3E0-41AD-A7D4-034491B17500}</b:Guid>
    <b:Title>Infoques de investigación</b:Title>
    <b:Year>2018</b:Year>
    <b:Author>
      <b:Author>
        <b:Corporate>Ortero A</b:Corporate>
      </b:Author>
    </b:Author>
    <b:JournalName>Scielo</b:JournalName>
    <b:Pages>19</b:Pages>
    <b:RefOrder>1279</b:RefOrder>
  </b:Source>
  <b:Source>
    <b:Tag>Nic17</b:Tag>
    <b:SourceType>JournalArticle</b:SourceType>
    <b:Guid>{8DE0163F-D36A-4A2C-A1FB-B1F3F66F6F38}</b:Guid>
    <b:Author>
      <b:Author>
        <b:Corporate>Nicomedes E</b:Corporate>
      </b:Author>
    </b:Author>
    <b:Title>Tipos de investigación </b:Title>
    <b:JournalName>Dialnet</b:JournalName>
    <b:Year>2017</b:Year>
    <b:Pages>2</b:Pages>
    <b:RefOrder>1280</b:RefOrder>
  </b:Source>
  <b:Source>
    <b:Tag>Ver177</b:Tag>
    <b:SourceType>JournalArticle</b:SourceType>
    <b:Guid>{A7BD8B17-4EA4-4810-A9EE-433AF1036A0A}</b:Guid>
    <b:Author>
      <b:Author>
        <b:Corporate>Vera O</b:Corporate>
      </b:Author>
    </b:Author>
    <b:Title>La interpretación de los resultados: un elemento de significado para la inferencia estadística</b:Title>
    <b:JournalName>Scielo</b:JournalName>
    <b:Year>2017</b:Year>
    <b:Pages>22</b:Pages>
    <b:RefOrder>1281</b:RefOrder>
  </b:Source>
  <b:Source>
    <b:Tag>Cas184</b:Tag>
    <b:SourceType>JournalArticle</b:SourceType>
    <b:Guid>{5AA51B46-B8E8-4615-B4E8-27184B6CE063}</b:Guid>
    <b:Author>
      <b:Author>
        <b:Corporate>Castro A</b:Corporate>
      </b:Author>
    </b:Author>
    <b:Title>La investigación exploratoria aplicada como estrategia didáctica en el laboratorio</b:Title>
    <b:JournalName>Revista Electrónica sobre Cuerpos Académicos y Grupos de Investigación</b:JournalName>
    <b:Year>2018</b:Year>
    <b:Pages>1</b:Pages>
    <b:URL>https://www.cagi.org.mx/index.php/CAGI/article/view/184/364</b:URL>
    <b:RefOrder>1282</b:RefOrder>
  </b:Source>
  <b:Source>
    <b:Tag>Lóp21</b:Tag>
    <b:SourceType>JournalArticle</b:SourceType>
    <b:Guid>{8FA286C7-7424-4765-B7CE-06D24AE1DC48}</b:Guid>
    <b:Author>
      <b:Author>
        <b:Corporate>López X</b:Corporate>
      </b:Author>
    </b:Author>
    <b:Title>Rendimiento Escolar y su importancia </b:Title>
    <b:JournalName>Scielo</b:JournalName>
    <b:Year>2021</b:Year>
    <b:Pages>15</b:Pages>
    <b:RefOrder>1283</b:RefOrder>
  </b:Source>
  <b:Source>
    <b:Tag>Med21</b:Tag>
    <b:SourceType>JournalArticle</b:SourceType>
    <b:Guid>{EE4FE232-FD8B-459D-9192-AC29B26D109A}</b:Guid>
    <b:Author>
      <b:Author>
        <b:Corporate>Medina D</b:Corporate>
      </b:Author>
    </b:Author>
    <b:Title>El rendimiento escolar y su influencia en desarrollo de las habilidades </b:Title>
    <b:JournalName>Dialnet</b:JournalName>
    <b:Year>2021</b:Year>
    <b:Pages>22</b:Pages>
    <b:RefOrder>1284</b:RefOrder>
  </b:Source>
  <b:Source>
    <b:Tag>Rei20</b:Tag>
    <b:SourceType>JournalArticle</b:SourceType>
    <b:Guid>{55A4F9DB-3FD8-4115-8107-8D9335E0819E}</b:Guid>
    <b:Author>
      <b:Author>
        <b:Corporate>Reina J</b:Corporate>
      </b:Author>
    </b:Author>
    <b:Title>Importancia de la nutrición y las actividades en el hogar </b:Title>
    <b:JournalName>Scielo</b:JournalName>
    <b:Year>2020</b:Year>
    <b:Pages>18</b:Pages>
    <b:RefOrder>1285</b:RefOrder>
  </b:Source>
  <b:Source>
    <b:Tag>Sol181</b:Tag>
    <b:SourceType>JournalArticle</b:SourceType>
    <b:Guid>{35EB2FA8-5916-4193-8983-FE8269B76664}</b:Guid>
    <b:Author>
      <b:Author>
        <b:Corporate>Soler L</b:Corporate>
      </b:Author>
    </b:Author>
    <b:Title>Conflictividad intrafamiliar </b:Title>
    <b:JournalName>Scielo</b:JournalName>
    <b:Year>2018</b:Year>
    <b:Pages>12</b:Pages>
    <b:RefOrder>1286</b:RefOrder>
  </b:Source>
  <b:Source>
    <b:Tag>Rod183</b:Tag>
    <b:SourceType>Report</b:SourceType>
    <b:Guid>{70E733BA-599C-4E3F-B587-EB19520D4226}</b:Guid>
    <b:Author>
      <b:Author>
        <b:Corporate>Rodríguez B</b:Corporate>
      </b:Author>
    </b:Author>
    <b:Title>La familia como relación social</b:Title>
    <b:Year>2018</b:Year>
    <b:City>Valencia </b:City>
    <b:Publisher>Universidad Católica de Valencia</b:Publisher>
    <b:RefOrder>1287</b:RefOrder>
  </b:Source>
  <b:Source>
    <b:Tag>Mat191</b:Tag>
    <b:SourceType>Report</b:SourceType>
    <b:Guid>{957B2E07-B4AD-4115-9CCC-211CAE4D326F}</b:Guid>
    <b:Author>
      <b:Author>
        <b:Corporate>Maté T</b:Corporate>
      </b:Author>
    </b:Author>
    <b:Title>El papel de los padres en el desarrollo de la personalidad de los niños</b:Title>
    <b:Year>2019</b:Year>
    <b:Publisher>Universidad de Guayaquil</b:Publisher>
    <b:City> Guayaquil</b:City>
    <b:RefOrder>1288</b:RefOrder>
  </b:Source>
  <b:Source>
    <b:Tag>Med187</b:Tag>
    <b:SourceType>JournalArticle</b:SourceType>
    <b:Guid>{139B0A7B-2E97-478A-A2E4-B469CEF0EB8D}</b:Guid>
    <b:Author>
      <b:Author>
        <b:Corporate>Medranda J</b:Corporate>
      </b:Author>
    </b:Author>
    <b:Title>Importancia de la familia</b:Title>
    <b:Year>2018</b:Year>
    <b:JournalName>Scielo</b:JournalName>
    <b:Pages>55</b:Pages>
    <b:RefOrder>1289</b:RefOrder>
  </b:Source>
  <b:Source>
    <b:Tag>Rom181</b:Tag>
    <b:SourceType>JournalArticle</b:SourceType>
    <b:Guid>{810EEF02-664D-47A5-89FE-9F980F618025}</b:Guid>
    <b:Author>
      <b:Author>
        <b:Corporate>Romero T</b:Corporate>
      </b:Author>
    </b:Author>
    <b:Title>Importancia del rendimiento escolar en los estudiantes</b:Title>
    <b:JournalName>Dialnet</b:JournalName>
    <b:Year>2018</b:Year>
    <b:Pages>33</b:Pages>
    <b:RefOrder>1290</b:RefOrder>
  </b:Source>
  <b:Source>
    <b:Tag>Pon201</b:Tag>
    <b:SourceType>JournalArticle</b:SourceType>
    <b:Guid>{A49D3C8E-883B-4C7B-920F-5FC3168BD07F}</b:Guid>
    <b:Author>
      <b:Author>
        <b:Corporate>Ponce V</b:Corporate>
      </b:Author>
    </b:Author>
    <b:Title>La motivación y su incidencia en el autoestima de los alumnos</b:Title>
    <b:JournalName>Scielo</b:JournalName>
    <b:Year>2020</b:Year>
    <b:Pages>66</b:Pages>
    <b:RefOrder>1291</b:RefOrder>
  </b:Source>
  <b:Source>
    <b:Tag>Bor18</b:Tag>
    <b:SourceType>JournalArticle</b:SourceType>
    <b:Guid>{98BF131A-41F3-46B5-B90A-BCDDCA24459A}</b:Guid>
    <b:Author>
      <b:Author>
        <b:Corporate>Borrell C</b:Corporate>
      </b:Author>
    </b:Author>
    <b:Title>La encuesta como técnica de investigación</b:Title>
    <b:JournalName>Redalyc</b:JournalName>
    <b:Year>2018</b:Year>
    <b:Pages>44</b:Pages>
    <b:RefOrder>1292</b:RefOrder>
  </b:Source>
  <b:Source>
    <b:Tag>Fer203</b:Tag>
    <b:SourceType>JournalArticle</b:SourceType>
    <b:Guid>{596C9174-6D2A-4298-888A-8D1591021D01}</b:Guid>
    <b:Author>
      <b:Author>
        <b:Corporate>Feria H</b:Corporate>
      </b:Author>
    </b:Author>
    <b:Title>La entrevista y la encuesta: ¿Métodos o técnicas de indagación empírica?</b:Title>
    <b:JournalName>Revista Didasc@lia: Didáctica y Educación</b:JournalName>
    <b:Year>2020</b:Year>
    <b:Pages>68</b:Pages>
    <b:URL>http://revistas.ult.edu.cu/index.php/didascalia/article/view/992/997</b:URL>
    <b:RefOrder>1293</b:RefOrder>
  </b:Source>
  <b:Source>
    <b:Tag>MarcadorDePosición122</b:Tag>
    <b:SourceType>Report</b:SourceType>
    <b:Guid>{0136B772-ABB0-441C-AD6E-E322AD419446}</b:Guid>
    <b:Author>
      <b:Author>
        <b:Corporate>Alvarado I</b:Corporate>
      </b:Author>
    </b:Author>
    <b:Title>El entorno familiar y su influencia en el proceso de aprendizaje</b:Title>
    <b:Year>2020</b:Year>
    <b:Publisher>Universidad Laica Vicente Rocafuerte de Guayaquil</b:Publisher>
    <b:City>Guayaquil-Ecuador</b:City>
    <b:URL>http://repositorio.ulvr.edu.ec/bitstream/44000/4097/1/T-ULVR-3419.pdf</b:URL>
    <b:RefOrder>1294</b:RefOrder>
  </b:Source>
  <b:Source>
    <b:Tag>Caj19</b:Tag>
    <b:SourceType>JournalArticle</b:SourceType>
    <b:Guid>{88EEF1C0-F03B-4FA0-A657-16979426C46B}</b:Guid>
    <b:Author>
      <b:Author>
        <b:Corporate>Cajamara M</b:Corporate>
      </b:Author>
    </b:Author>
    <b:Title>Los factores que intervienen en el rendimiento escolar</b:Title>
    <b:JournalName>Scielo</b:JournalName>
    <b:Year>2019</b:Year>
    <b:Pages>15</b:Pages>
    <b:RefOrder>1295</b:RefOrder>
  </b:Source>
  <b:Source>
    <b:Tag>Nuñ19</b:Tag>
    <b:SourceType>Report</b:SourceType>
    <b:Guid>{5C708AC5-E688-4CFC-9B42-7FD6E8B5E6BA}</b:Guid>
    <b:Author>
      <b:Author>
        <b:Corporate>Nuñez L</b:Corporate>
      </b:Author>
    </b:Author>
    <b:Title>Influencia del entorno familiar en el rendimiento escolar de los estudiantes</b:Title>
    <b:Year>2019</b:Year>
    <b:Publisher>Universidad Nacional del Altiplano</b:Publisher>
    <b:City>Puno-Perú</b:City>
    <b:URL>http://repositorio.unap.edu.pe/bitstream/handle/UNAP/10543/Nu%c3%b1ez_Limachi_Lizbeth_Noelia.pdf?sequence=1&amp;isAllowed=y</b:URL>
    <b:RefOrder>1296</b:RefOrder>
  </b:Source>
  <b:Source>
    <b:Tag>Loj21</b:Tag>
    <b:SourceType>JournalArticle</b:SourceType>
    <b:Guid>{2CBF7F6F-CA3A-4FC0-A7E6-E938D0FFC2F9}</b:Guid>
    <b:Title>El rol docente y las innovaciones pedagógicas como elementos para la transformación educativa</b:Title>
    <b:Year>2021</b:Year>
    <b:Author>
      <b:Author>
        <b:Corporate>Loja C</b:Corporate>
      </b:Author>
    </b:Author>
    <b:JournalName>Revista  Scientific</b:JournalName>
    <b:Pages>298</b:Pages>
    <b:URL>https://www.indteca.com/ojs/index.php/Revista_Scientific/article/view/626/1289</b:URL>
    <b:RefOrder>1297</b:RefOrder>
  </b:Source>
  <b:Source>
    <b:Tag>Nuñ18</b:Tag>
    <b:SourceType>JournalArticle</b:SourceType>
    <b:Guid>{97228FEA-9D5C-483C-A84C-7ECA07596540}</b:Guid>
    <b:Author>
      <b:Author>
        <b:Corporate>Nuñez J</b:Corporate>
      </b:Author>
    </b:Author>
    <b:Title>Rol del docente en el proceso enseñanza aprendizaje</b:Title>
    <b:JournalName>Scielo</b:JournalName>
    <b:Year>2018</b:Year>
    <b:Pages>11</b:Pages>
    <b:RefOrder>1298</b:RefOrder>
  </b:Source>
  <b:Source>
    <b:Tag>Pel17</b:Tag>
    <b:SourceType>JournalArticle</b:SourceType>
    <b:Guid>{A0607A21-FD08-4CBE-89DA-E629F5853AFF}</b:Guid>
    <b:Author>
      <b:Author>
        <b:Corporate>Peláez M</b:Corporate>
      </b:Author>
    </b:Author>
    <b:Title>Influencia del entorno familiar </b:Title>
    <b:JournalName>Scielo</b:JournalName>
    <b:Year>2017</b:Year>
    <b:Pages>22</b:Pages>
    <b:RefOrder>1299</b:RefOrder>
  </b:Source>
  <b:Source>
    <b:Tag>Fló17</b:Tag>
    <b:SourceType>JournalArticle</b:SourceType>
    <b:Guid>{2AF65F31-E722-48AC-90B7-2A6A2FCE4745}</b:Guid>
    <b:Author>
      <b:Author>
        <b:Corporate>Flórez G</b:Corporate>
      </b:Author>
    </b:Author>
    <b:Title>El acompañamiento familiar en el proceso de formación escolar para la realidad colombiana: de la responsabilidad a la necesidad</b:Title>
    <b:JournalName>Revista Virtual de Ciencias Sociales y Humanas “PSICOESPACIOS”</b:JournalName>
    <b:Year>2017</b:Year>
    <b:Pages>5</b:Pages>
    <b:URL>file:///C:/Users/Usuario/AppData/Local/Temp/Dialnet-ElAcompanamientoFamiliarEnElProcesoDeFormacionEsco-5893097.pdf</b:URL>
    <b:RefOrder>1300</b:RefOrder>
  </b:Source>
  <b:Source>
    <b:Tag>Sar21</b:Tag>
    <b:SourceType>JournalArticle</b:SourceType>
    <b:Guid>{8E1FAADC-A8BA-4757-AA36-E4F995F1FBE5}</b:Guid>
    <b:Author>
      <b:Author>
        <b:Corporate>Sarmiento A</b:Corporate>
      </b:Author>
    </b:Author>
    <b:Title>Influencia del entorno familiar y el tipo de familia en el desarrollo del lenguaje</b:Title>
    <b:JournalName>Revista Psicología UNEMI</b:JournalName>
    <b:Year>2021</b:Year>
    <b:Pages>22</b:Pages>
    <b:RefOrder>1301</b:RefOrder>
  </b:Source>
  <b:Source>
    <b:Tag>Ama20</b:Tag>
    <b:SourceType>JournalArticle</b:SourceType>
    <b:Guid>{2DBCE6A1-94C7-430B-AD2C-9D7DF1832BE3}</b:Guid>
    <b:Author>
      <b:Author>
        <b:Corporate>Amaro Y</b:Corporate>
      </b:Author>
    </b:Author>
    <b:Title>El diálogo en familia: un derecho de los niños de la primera infancia</b:Title>
    <b:JournalName>Scielo</b:JournalName>
    <b:Year>2020</b:Year>
    <b:Pages>1</b:Pages>
    <b:RefOrder>1302</b:RefOrder>
  </b:Source>
  <b:Source>
    <b:Tag>Fal19</b:Tag>
    <b:SourceType>JournalArticle</b:SourceType>
    <b:Guid>{B69ACD0E-438D-4805-8CA1-3151BA57D13E}</b:Guid>
    <b:Author>
      <b:Author>
        <b:Corporate>Falcones H</b:Corporate>
      </b:Author>
    </b:Author>
    <b:Title>Importancia de los padres de familia en el proceso de enseñanza aprendizaje</b:Title>
    <b:JournalName>Dialnet</b:JournalName>
    <b:Year>2019</b:Year>
    <b:Pages>44</b:Pages>
    <b:RefOrder>1303</b:RefOrder>
  </b:Source>
  <b:Source>
    <b:Tag>Sev17</b:Tag>
    <b:SourceType>JournalArticle</b:SourceType>
    <b:Guid>{9F80EA31-C022-4957-924D-0C6A6EA83F11}</b:Guid>
    <b:Author>
      <b:Author>
        <b:Corporate>Sevilla V</b:Corporate>
      </b:Author>
    </b:Author>
    <b:Title>Conflictos en los entornos familiares</b:Title>
    <b:JournalName>Ra Ximhai</b:JournalName>
    <b:Year>2017</b:Year>
    <b:Pages>11</b:Pages>
    <b:RefOrder>1304</b:RefOrder>
  </b:Source>
  <b:Source>
    <b:Tag>Rui21</b:Tag>
    <b:SourceType>JournalArticle</b:SourceType>
    <b:Guid>{F5CF5861-0EA2-4835-A6EC-E182FB78653D}</b:Guid>
    <b:Author>
      <b:Author>
        <b:Corporate>Ruiz C</b:Corporate>
      </b:Author>
    </b:Author>
    <b:Title>El entorno familiar y el comportamiento de los niños en tiempos de pandemia</b:Title>
    <b:JournalName>EduSol</b:JournalName>
    <b:Year>2021</b:Year>
    <b:Pages>1</b:Pages>
    <b:URL>http://scielo.sld.cu/scielo.php?script=sci_arttext&amp;pid=S1729-80912021000300173</b:URL>
    <b:RefOrder>1305</b:RefOrder>
  </b:Source>
  <b:Source>
    <b:Tag>Cud20</b:Tag>
    <b:SourceType>JournalArticle</b:SourceType>
    <b:Guid>{0781C27D-A9A1-473C-9924-C5B181A30E14}</b:Guid>
    <b:Author>
      <b:Author>
        <b:Corporate>Cudris L</b:Corporate>
      </b:Author>
    </b:Author>
    <b:Title>Comunicación familiar</b:Title>
    <b:JournalName>Revista AVFT</b:JournalName>
    <b:Year>2020</b:Year>
    <b:Pages>246</b:Pages>
    <b:RefOrder>1306</b:RefOrder>
  </b:Source>
  <b:Source>
    <b:Tag>Yún17</b:Tag>
    <b:SourceType>Report</b:SourceType>
    <b:Guid>{6D979E59-ADD2-474F-99A8-20197522A1E3}</b:Guid>
    <b:Title>La motivación escolar y el rendimiento académico de los niños y niñas</b:Title>
    <b:Year>2017</b:Year>
    <b:City>Ambato-Ecuador</b:City>
    <b:Publisher>Universidad Técnica de Ambato</b:Publisher>
    <b:Author>
      <b:Author>
        <b:Corporate>Yúngan R</b:Corporate>
      </b:Author>
    </b:Author>
    <b:URL>https://repositorio.uta.edu.ec/jspui/bitstream/123456789/24587/1/TESIS%20MYRIAM%20CHICAIZA%20ALTAMIRANO.pdf</b:URL>
    <b:RefOrder>1307</b:RefOrder>
  </b:Source>
  <b:Source>
    <b:Tag>Rui17</b:Tag>
    <b:SourceType>Report</b:SourceType>
    <b:Guid>{1AAAAEA4-8277-4936-99B0-A8B7C350F137}</b:Guid>
    <b:Author>
      <b:Author>
        <b:Corporate>Ruiz M</b:Corporate>
      </b:Author>
    </b:Author>
    <b:Title>El entorno familiar </b:Title>
    <b:Year>2017</b:Year>
    <b:Publisher>Universidad Técnica de Ambato</b:Publisher>
    <b:City>Ambato</b:City>
    <b:RefOrder>1308</b:RefOrder>
  </b:Source>
  <b:Source>
    <b:Tag>MarcadorDePosición123</b:Tag>
    <b:SourceType>JournalArticle</b:SourceType>
    <b:Guid>{8E0C6BDA-E560-4C84-BE06-4D8E85B09C36}</b:Guid>
    <b:Title>El rol de la familia</b:Title>
    <b:Year>2019</b:Year>
    <b:Author>
      <b:Author>
        <b:Corporate>Caiza A</b:Corporate>
      </b:Author>
    </b:Author>
    <b:JournalName>Redalyc</b:JournalName>
    <b:Pages>23</b:Pages>
    <b:RefOrder>1309</b:RefOrder>
  </b:Source>
  <b:Source>
    <b:Tag>Gar179</b:Tag>
    <b:SourceType>Report</b:SourceType>
    <b:Guid>{E4C855F9-D715-4013-AED4-CB18B1D07B5B}</b:Guid>
    <b:Author>
      <b:Author>
        <b:Corporate>García H</b:Corporate>
      </b:Author>
    </b:Author>
    <b:Title>La comunicación entre padres e hijos</b:Title>
    <b:Year>2017</b:Year>
    <b:Publisher>Universidad de San Carlos de Guatemala</b:Publisher>
    <b:City>Guatemala</b:City>
    <b:RefOrder>1310</b:RefOrder>
  </b:Source>
  <b:Source>
    <b:Tag>Roj192</b:Tag>
    <b:SourceType>Report</b:SourceType>
    <b:Guid>{8380F725-C589-4B83-B35D-52E385041C29}</b:Guid>
    <b:Author>
      <b:Author>
        <b:Corporate>Rojas G</b:Corporate>
      </b:Author>
    </b:Author>
    <b:Title>Participación de los padres de familia en el proceso de enseñanza aprendizaje</b:Title>
    <b:Year>2019</b:Year>
    <b:Publisher>Universidad Politécnica Salesiana</b:Publisher>
    <b:City>Cuenca-Ecuador</b:City>
    <b:URL>https://dspace.ups.edu.ec/bitstream/123456789/17892/1/UPS-CT008469.pdf</b:URL>
    <b:RefOrder>1311</b:RefOrder>
  </b:Source>
  <b:Source>
    <b:Tag>Ord18</b:Tag>
    <b:SourceType>Report</b:SourceType>
    <b:Guid>{159969B5-7BD8-4FA3-938C-23897A9FE4CB}</b:Guid>
    <b:Author>
      <b:Author>
        <b:Corporate>Ordóñez L</b:Corporate>
      </b:Author>
    </b:Author>
    <b:Title>Entorno familiar y su influencia en el rendimiento escolar de los estudiantes</b:Title>
    <b:Year>2018</b:Year>
    <b:Publisher>Universidad Técnica Particular de Loja</b:Publisher>
    <b:City> Loja-Ecuador</b:City>
    <b:RefOrder>1312</b:RefOrder>
  </b:Source>
  <b:Source>
    <b:Tag>Mer191</b:Tag>
    <b:SourceType>JournalArticle</b:SourceType>
    <b:Guid>{B1590ABC-EBBA-4E66-A28A-14D89645D7E2}</b:Guid>
    <b:Title>Influencia de las relaciones familiares en la primera infancia</b:Title>
    <b:Year>2019</b:Year>
    <b:Author>
      <b:Author>
        <b:Corporate>Mera V</b:Corporate>
      </b:Author>
    </b:Author>
    <b:JournalName>Scielo</b:JournalName>
    <b:Pages>66</b:Pages>
    <b:RefOrder>1313</b:RefOrder>
  </b:Source>
  <b:Source>
    <b:Tag>Sán194</b:Tag>
    <b:SourceType>JournalArticle</b:SourceType>
    <b:Guid>{07A6961C-2661-49B4-8BE7-C3E94EFEBD0D}</b:Guid>
    <b:Author>
      <b:Author>
        <b:Corporate>Sánchez B</b:Corporate>
      </b:Author>
    </b:Author>
    <b:Title>La relacioón familia-escuela</b:Title>
    <b:JournalName>Dialnet</b:JournalName>
    <b:Year>2019</b:Year>
    <b:Pages>3</b:Pages>
    <b:RefOrder>1314</b:RefOrder>
  </b:Source>
  <b:Source>
    <b:Tag>Cam191</b:Tag>
    <b:SourceType>JournalArticle</b:SourceType>
    <b:Guid>{37ED8CA6-2FB6-407D-804E-3F40C6FBB450}</b:Guid>
    <b:Author>
      <b:Author>
        <b:Corporate>Camacho C</b:Corporate>
      </b:Author>
    </b:Author>
    <b:Title>La familia como base para el aporte de la enseñanza aprendizaje </b:Title>
    <b:JournalName>Scielo </b:JournalName>
    <b:Year>2019</b:Year>
    <b:Pages>12</b:Pages>
    <b:RefOrder>1315</b:RefOrder>
  </b:Source>
  <b:Source>
    <b:Tag>Rom187</b:Tag>
    <b:SourceType>JournalArticle</b:SourceType>
    <b:Guid>{4111F860-4361-4E38-9C20-2DE8E755591D}</b:Guid>
    <b:Author>
      <b:Author>
        <b:Corporate>Romero C</b:Corporate>
      </b:Author>
    </b:Author>
    <b:Title>La familia y su rol en la educación </b:Title>
    <b:JournalName>Redalyc</b:JournalName>
    <b:Year>2018</b:Year>
    <b:Pages>23</b:Pages>
    <b:RefOrder>1316</b:RefOrder>
  </b:Source>
  <b:Source>
    <b:Tag>Gut193</b:Tag>
    <b:SourceType>JournalArticle</b:SourceType>
    <b:Guid>{5864788B-6ADC-4CFB-A702-304B87E20D41}</b:Guid>
    <b:Author>
      <b:Author>
        <b:Corporate> Gutiérrez C</b:Corporate>
      </b:Author>
    </b:Author>
    <b:Title>Las relaciones familiares y su aporte en la educación </b:Title>
    <b:JournalName>Iberoamericana</b:JournalName>
    <b:Year>2019</b:Year>
    <b:Pages>23</b:Pages>
    <b:RefOrder>1317</b:RefOrder>
  </b:Source>
  <b:Source>
    <b:Tag>San1913</b:Tag>
    <b:SourceType>JournalArticle</b:SourceType>
    <b:Guid>{6516CEE2-B71E-4ED5-80EC-3CB3D93E37CF}</b:Guid>
    <b:Author>
      <b:Author>
        <b:Corporate>Santillán C</b:Corporate>
      </b:Author>
    </b:Author>
    <b:Title>La participación de los padres en la enseñanza</b:Title>
    <b:JournalName>Scielo </b:JournalName>
    <b:Year>2019</b:Year>
    <b:Pages>12</b:Pages>
    <b:RefOrder>1318</b:RefOrder>
  </b:Source>
  <b:Source>
    <b:Tag>Agu182</b:Tag>
    <b:SourceType>JournalArticle</b:SourceType>
    <b:Guid>{B724861C-D753-4E91-A6A6-339233FE3DF4}</b:Guid>
    <b:Author>
      <b:Author>
        <b:Corporate>Aguilar C</b:Corporate>
      </b:Author>
    </b:Author>
    <b:Title>La responsabilidad de los padres y su aporte en la educación </b:Title>
    <b:JournalName>Dialnet</b:JournalName>
    <b:Year>2018</b:Year>
    <b:Pages>23</b:Pages>
    <b:RefOrder>1319</b:RefOrder>
  </b:Source>
  <b:Source>
    <b:Tag>Sub18</b:Tag>
    <b:SourceType>JournalArticle</b:SourceType>
    <b:Guid>{96955399-A44B-4901-8314-83E6B83C152C}</b:Guid>
    <b:Author>
      <b:Author>
        <b:Corporate>Subiaga M</b:Corporate>
      </b:Author>
    </b:Author>
    <b:Title>La familia en núclo principal de la sociedad</b:Title>
    <b:JournalName>Revista de Educación y Ciencia</b:JournalName>
    <b:Year>2018</b:Year>
    <b:Pages>15</b:Pages>
    <b:RefOrder>1320</b:RefOrder>
  </b:Source>
  <b:Source>
    <b:Tag>Cal193</b:Tag>
    <b:SourceType>JournalArticle</b:SourceType>
    <b:Guid>{CA2189FD-67E7-4126-99DF-D614E98F16EF}</b:Guid>
    <b:Author>
      <b:Author>
        <b:Corporate>Calderón C</b:Corporate>
      </b:Author>
    </b:Author>
    <b:Title>El entorno familiar y su aporte en el desarrollo de las habilidades sociales</b:Title>
    <b:JournalName>Redalyc</b:JournalName>
    <b:Year>2019</b:Year>
    <b:Pages>34</b:Pages>
    <b:RefOrder>1321</b:RefOrder>
  </b:Source>
  <b:Source>
    <b:Tag>Rob191</b:Tag>
    <b:SourceType>JournalArticle</b:SourceType>
    <b:Guid>{EBC1495D-C667-45C7-ADA8-29453552CF60}</b:Guid>
    <b:Author>
      <b:Author>
        <b:Corporate>Robles C</b:Corporate>
      </b:Author>
    </b:Author>
    <b:Title>El entorno familiar y su incidencia en el desempeño social</b:Title>
    <b:JournalName>Dialnet</b:JournalName>
    <b:Year>2019</b:Year>
    <b:Pages>33</b:Pages>
    <b:RefOrder>1322</b:RefOrder>
  </b:Source>
  <b:Source>
    <b:Tag>MarcadorDePosición124</b:Tag>
    <b:SourceType>JournalArticle</b:SourceType>
    <b:Guid>{5F49D9A2-7452-4A4E-B665-03B45862F41D}</b:Guid>
    <b:Title>Ecología Industrial y desarrollo Sostenible</b:Title>
    <b:Year>2009</b:Year>
    <b:Pages>8</b:Pages>
    <b:Author>
      <b:Author>
        <b:NameList>
          <b:Person>
            <b:Last>Cervantes</b:Last>
            <b:First>G.</b:First>
          </b:Person>
          <b:Person>
            <b:Last>Sosa</b:Last>
            <b:First>R.</b:First>
          </b:Person>
          <b:Person>
            <b:Last>Rodríguez</b:Last>
            <b:First>G.</b:First>
          </b:Person>
          <b:Person>
            <b:Last>Robles</b:Last>
            <b:First>F.</b:First>
          </b:Person>
        </b:NameList>
      </b:Author>
    </b:Author>
    <b:JournalName>Ingeniería, Revista Académica de la FI-UADY, 13-1, pp. 63-70, ISSN: 1665529X</b:JournalName>
    <b:URL>https://www.redalyc.org/pdf/467/46713055007.pdf</b:URL>
    <b:RefOrder>1323</b:RefOrder>
  </b:Source>
  <b:Source>
    <b:Tag>Mar95</b:Tag>
    <b:SourceType>Book</b:SourceType>
    <b:Guid>{90A76C54-B77C-48D7-9525-F991AAB1640E}</b:Guid>
    <b:Author>
      <b:Author>
        <b:NameList>
          <b:Person>
            <b:Last>Martínez</b:Last>
            <b:First>Allier</b:First>
          </b:Person>
        </b:NameList>
      </b:Author>
    </b:Author>
    <b:Title>Los principios de la Economía Ecológica</b:Title>
    <b:Year>1995</b:Year>
    <b:City>Madrid</b:City>
    <b:Publisher>Fundación Argentaria y Visor Distribuidor</b:Publisher>
    <b:RefOrder>1324</b:RefOrder>
  </b:Source>
  <b:Source>
    <b:Tag>MarcadorDePosición125</b:Tag>
    <b:SourceType>JournalArticle</b:SourceType>
    <b:Guid>{09BB3E63-B0AF-46A3-AEDB-219D08883788}</b:Guid>
    <b:Title>Una revisión de los principios de la ecología industrial</b:Title>
    <b:Year>2009</b:Year>
    <b:JournalName>Argumentos (Méx.), 22(59)</b:JournalName>
    <b:Pages>247-265</b:Pages>
    <b:URL>http://www.scielo.org.mx/scielo.php?script=sci_arttext&amp;pid=S0187-57952009000100009#c2</b:URL>
    <b:Author>
      <b:Author>
        <b:NameList>
          <b:Person>
            <b:Last>Carrillo</b:Last>
            <b:First>Graciela</b:First>
          </b:Person>
        </b:NameList>
      </b:Author>
    </b:Author>
    <b:RefOrder>1325</b:RefOrder>
  </b:Source>
  <b:Source>
    <b:Tag>Bun96</b:Tag>
    <b:SourceType>JournalArticle</b:SourceType>
    <b:Guid>{D5CE7D1E-2AD3-4631-B025-2621EA2F700B}</b:Guid>
    <b:Author>
      <b:Author>
        <b:NameList>
          <b:Person>
            <b:Last>Bunker</b:Last>
            <b:First>Stephen</b:First>
          </b:Person>
        </b:NameList>
      </b:Author>
    </b:Author>
    <b:Title>Materias primas y economía global: olvidos y distorsiones de la ecología industrial</b:Title>
    <b:JournalName>Revista Ecología Política, 12(1)</b:JournalName>
    <b:Year>1996</b:Year>
    <b:Pages>12-25</b:Pages>
    <b:URL>http://www.scielo.org.mx/scielo.php?script=sci_nlinks&amp;ref=1080392&amp;pid=S0187-5795200900010000900016&amp;lng=es</b:URL>
    <b:RefOrder>1326</b:RefOrder>
  </b:Source>
  <b:Source>
    <b:Tag>Ayr02</b:Tag>
    <b:SourceType>Book</b:SourceType>
    <b:Guid>{AB10925D-07C1-49B6-B93F-51489020303C}</b:Guid>
    <b:Title>A Handbook of Industrial Ecology</b:Title>
    <b:Year>2002</b:Year>
    <b:Author>
      <b:Author>
        <b:NameList>
          <b:Person>
            <b:Last>Ayres</b:Last>
            <b:First>R.</b:First>
          </b:Person>
          <b:Person>
            <b:Last>y Ayres</b:Last>
            <b:First>L.</b:First>
          </b:Person>
        </b:NameList>
      </b:Author>
    </b:Author>
    <b:City>Reino Unido</b:City>
    <b:Publisher>Edward Elgar Publishing Limited</b:Publisher>
    <b:URL>http://pustaka.unp.ac.id/file/abstrak_kki/EBOOKS/A%20Handbook%20of%20Industrial%20Ecology.pdf</b:URL>
    <b:RefOrder>1327</b:RefOrder>
  </b:Source>
  <b:Source>
    <b:Tag>Whi94</b:Tag>
    <b:SourceType>Book</b:SourceType>
    <b:Guid>{8C255AE9-9C3C-4E04-8646-59C2C7B22691}</b:Guid>
    <b:Author>
      <b:Author>
        <b:NameList>
          <b:Person>
            <b:Last>White</b:Last>
            <b:First>Robert</b:First>
          </b:Person>
        </b:NameList>
      </b:Author>
    </b:Author>
    <b:Title>The Greening of Industrial Ecosystems</b:Title>
    <b:Year>1994</b:Year>
    <b:City>Washington, DC</b:City>
    <b:Publisher>National Academy Press</b:Publisher>
    <b:RefOrder>1328</b:RefOrder>
  </b:Source>
  <b:Source>
    <b:Tag>MarcadorDePosición126</b:Tag>
    <b:SourceType>Report</b:SourceType>
    <b:Guid>{04BFDB62-7920-457E-8C68-FF0944FF8AD2}</b:Guid>
    <b:Title>Ecología Industrial: innovación y desarrollo sostenible en sistemas industriales</b:Title>
    <b:Year>2011</b:Year>
    <b:Publisher>Universidad Politécnica de Catalunña</b:Publisher>
    <b:City>Catalunña, España</b:City>
    <b:Author>
      <b:Author>
        <b:Corporate>Consejo de Educación Superior</b:Corporate>
      </b:Author>
    </b:Author>
    <b:RefOrder>1329</b:RefOrder>
  </b:Source>
  <b:Source>
    <b:Tag>Con191</b:Tag>
    <b:SourceType>Report</b:SourceType>
    <b:Guid>{F07B6E10-7834-4B32-8C6E-092C3E7AEB84}</b:Guid>
    <b:Author>
      <b:Author>
        <b:Corporate>CES</b:Corporate>
      </b:Author>
    </b:Author>
    <b:Title>Reglamento de Régimen Académico</b:Title>
    <b:Year>2019</b:Year>
    <b:Publisher>Consejo de Educación Superior</b:Publisher>
    <b:City>2019</b:City>
    <b:RefOrder>1330</b:RefOrder>
  </b:Source>
  <b:Source>
    <b:Tag>Lat22</b:Tag>
    <b:SourceType>InternetSite</b:SourceType>
    <b:Guid>{612A9B67-9C91-4424-A88F-C26772197252}</b:Guid>
    <b:Title>Latitud y longitud</b:Title>
    <b:Year>2022</b:Year>
    <b:Author>
      <b:Author>
        <b:Corporate>Latitud</b:Corporate>
      </b:Author>
    </b:Author>
    <b:InternetSiteTitle>Coordenadas de Portoviejo</b:InternetSiteTitle>
    <b:Month>abril</b:Month>
    <b:Day>12</b:Day>
    <b:URL>https://www.longitudylatitud.com/ecuador/coordenadas-geograficas-portoviejo-ec/</b:URL>
    <b:RefOrder>1331</b:RefOrder>
  </b:Source>
  <b:Source>
    <b:Tag>Max22</b:Tag>
    <b:SourceType>InternetSite</b:SourceType>
    <b:Guid>{E9885689-54DE-4887-B121-B9BF92814038}</b:Guid>
    <b:Title>Ecologia industrial, importancia y desafíos</b:Title>
    <b:Year>2022</b:Year>
    <b:Author>
      <b:Author>
        <b:NameList>
          <b:Person>
            <b:Last>Ulloa</b:Last>
            <b:First>Maximiliano</b:First>
            <b:Middle>Arroyo</b:Middle>
          </b:Person>
        </b:NameList>
      </b:Author>
    </b:Author>
    <b:Month>04</b:Month>
    <b:Day>24</b:Day>
    <b:URL>http://www.usat.edu.pe/articulos/ecologia-industrial-importancia-y-desafios/</b:URL>
    <b:RefOrder>1332</b:RefOrder>
  </b:Source>
  <b:Source>
    <b:Tag>DrJ14</b:Tag>
    <b:SourceType>Report</b:SourceType>
    <b:Guid>{A3BA8554-FD71-45BE-932D-62BDC01281E1}</b:Guid>
    <b:Title>ECOLOGÍA INDUSTRIAL; Y LA SINERGIA ENTRE EMPRESAS </b:Title>
    <b:Year>2014</b:Year>
    <b:Author>
      <b:Author>
        <b:NameList>
          <b:Person>
            <b:Last>Cabello</b:Last>
            <b:First>Dr.</b:First>
            <b:Middle>José Javier Cervantes</b:Middle>
          </b:Person>
        </b:NameList>
      </b:Author>
    </b:Author>
    <b:Publisher>Mexico DF</b:Publisher>
    <b:City>Universidad Nacional Autónoma de México</b:City>
    <b:RefOrder>1333</b:RefOrder>
  </b:Source>
  <b:Source>
    <b:Tag>jos03</b:Tag>
    <b:SourceType>Book</b:SourceType>
    <b:Guid>{DE7ED15E-338E-43A5-8626-94C68176DDF8}</b:Guid>
    <b:Title>La Ecología Industrial</b:Title>
    <b:Year>2003</b:Year>
    <b:Publisher>Eonomía Industrial Nª 351</b:Publisher>
    <b:Author>
      <b:Author>
        <b:NameList>
          <b:Person>
            <b:Last>josé M. Naredo</b:Last>
            <b:First>Óscar</b:First>
            <b:Middle>Carpintero</b:Middle>
          </b:Person>
        </b:NameList>
      </b:Author>
    </b:Author>
    <b:RefOrder>1334</b:RefOrder>
  </b:Source>
  <b:Source>
    <b:Tag>Ali11</b:Tag>
    <b:SourceType>Book</b:SourceType>
    <b:Guid>{7DF07917-767D-4990-9616-7A54FFCB0542}</b:Guid>
    <b:Author>
      <b:Author>
        <b:NameList>
          <b:Person>
            <b:Last>Alicia Valero Delgado</b:Last>
            <b:First>Sergio</b:First>
            <b:Middle>Usón Gil</b:Middle>
          </b:Person>
        </b:NameList>
      </b:Author>
    </b:Author>
    <b:Title>Ecología Industrial Cerrando el Ciclo de Materiales</b:Title>
    <b:Year>2011</b:Year>
    <b:City>Zaragoza - España</b:City>
    <b:Publisher>Prensas Universitarias de Zaragoza</b:Publisher>
    <b:RefOrder>1335</b:RefOrder>
  </b:Source>
  <b:Source>
    <b:Tag>Ale11</b:Tag>
    <b:SourceType>Book</b:SourceType>
    <b:Guid>{D34DFC54-6038-41A1-A95A-E0E52B02A75F}</b:Guid>
    <b:Author>
      <b:Author>
        <b:NameList>
          <b:Person>
            <b:Last>pereira</b:Last>
            <b:First>Alessandro</b:First>
            <b:Middle>Sanches</b:Middle>
          </b:Person>
        </b:NameList>
      </b:Author>
    </b:Author>
    <b:Title>La sociedad industrial y sus impactos ambientales</b:Title>
    <b:Year>2011</b:Year>
    <b:Publisher>Senac</b:Publisher>
    <b:RefOrder>1336</b:RefOrder>
  </b:Source>
  <b:Source>
    <b:Tag>Car13</b:Tag>
    <b:SourceType>Book</b:SourceType>
    <b:Guid>{88FC86B6-E365-4CFB-9F1A-2E4FC27B6C75}</b:Guid>
    <b:Author>
      <b:Author>
        <b:NameList>
          <b:Person>
            <b:Last>Carrillo</b:Last>
            <b:First>Graciela</b:First>
          </b:Person>
        </b:NameList>
      </b:Author>
    </b:Author>
    <b:Title>La ecología industrial en México</b:Title>
    <b:Year>2013</b:Year>
    <b:City>México D.F</b:City>
    <b:Publisher>Universidad Autónoma Metropolitana, Unidad Xochimilco, División de Ciencias Sociales y Humanidades, 2013, 1a. edición</b:Publisher>
    <b:RefOrder>1337</b:RefOrder>
  </b:Source>
  <b:Source>
    <b:Tag>Min20</b:Tag>
    <b:SourceType>InternetSite</b:SourceType>
    <b:Guid>{431BD05E-320E-46AB-A612-A96C73D50759}</b:Guid>
    <b:Author>
      <b:Author>
        <b:Corporate>Ministerio de educación</b:Corporate>
      </b:Author>
    </b:Author>
    <b:Title>Diseño Universal de Aprendizaje: una respuesta a la diversidad</b:Title>
    <b:Year>2020</b:Year>
    <b:Month>Diciembre</b:Month>
    <b:URL>https://educacion.gob.ec/wp-content/uploads/downloads/2020/12/Pasa-la-Voz-Diciembre-2020.pdf</b:URL>
    <b:RefOrder>1338</b:RefOrder>
  </b:Source>
  <b:Source>
    <b:Tag>Gar00</b:Tag>
    <b:SourceType>InternetSite</b:SourceType>
    <b:Guid>{C66FB3FD-D3EB-4456-9633-572D72BB942D}</b:Guid>
    <b:Author>
      <b:Author>
        <b:Corporate>Howard Gardner</b:Corporate>
      </b:Author>
    </b:Author>
    <b:Title>Redalyc</b:Title>
    <b:Year>2000</b:Year>
    <b:URL>https://www.redalyc.org/pdf/213/21301003.pdf</b:URL>
    <b:RefOrder>1339</b:RefOrder>
  </b:Source>
  <b:Source>
    <b:Tag>Gar83</b:Tag>
    <b:SourceType>InternetSite</b:SourceType>
    <b:Guid>{9F04A3A1-23EF-4CA5-8F04-590989811E8C}</b:Guid>
    <b:Year>1983</b:Year>
    <b:Author>
      <b:Author>
        <b:NameList>
          <b:Person>
            <b:Last>Gardner</b:Last>
          </b:Person>
        </b:NameList>
      </b:Author>
    </b:Author>
    <b:Title>Dialnet</b:Title>
    <b:InternetSiteTitle>Educación para todos</b:InternetSiteTitle>
    <b:URL>https://dialnet.unirioja.es/descarga/articulo/4531340.pdf</b:URL>
    <b:RefOrder>1340</b:RefOrder>
  </b:Source>
  <b:Source>
    <b:Tag>MarcadorDePosición127</b:Tag>
    <b:SourceType>JournalArticle</b:SourceType>
    <b:Guid>{4E375A4A-89DB-4ADC-8A90-5CE7D135EE42}</b:Guid>
    <b:Title>LA TEORÍA DE LAS INTELIGENCIAS MÚLTIPLES EN LA PRÁCTICA DOCENTE EN EDUCACIÓN</b:Title>
    <b:Year>2008</b:Year>
    <b:Author>
      <b:Author>
        <b:NameList>
          <b:Person>
            <b:Last>Lizano Paniagua</b:Last>
            <b:First>Karina</b:First>
          </b:Person>
          <b:Person>
            <b:Last>Umaña Vega</b:Last>
            <b:First>Mónica</b:First>
          </b:Person>
        </b:NameList>
      </b:Author>
    </b:Author>
    <b:JournalName>Revista Electrónica Educare</b:JournalName>
    <b:Pages>141-142</b:Pages>
    <b:City>Heredia, Costa Rica</b:City>
    <b:Volume>XII</b:Volume>
    <b:Issue>1</b:Issue>
    <b:YearAccessed>2022</b:YearAccessed>
    <b:MonthAccessed>enero</b:MonthAccessed>
    <b:URL>https://www.redalyc.org/pdf/1941/194114582017.pdf</b:URL>
    <b:RefOrder>1341</b:RefOrder>
  </b:Source>
  <b:Source>
    <b:Tag>GON13</b:Tag>
    <b:SourceType>JournalArticle</b:SourceType>
    <b:Guid>{44FA33A1-6CDB-4D0B-972B-8B8CCEE327F7}</b:Guid>
    <b:Title>ESTIMACIÓN DE LA INTELIGENCIA INTERPERSONAL E INTRAPERSONAL SEGÚN EL GÉNERO Y LA UBICACIÓN GEOGRÁFICA</b:Title>
    <b:JournalName>Psicogente</b:JournalName>
    <b:Year>2013</b:Year>
    <b:Pages>368-378</b:Pages>
    <b:Author>
      <b:Author>
        <b:NameList>
          <b:Person>
            <b:Last>González Cubillán</b:Last>
            <b:First>Lesbia</b:First>
          </b:Person>
          <b:Person>
            <b:Last>González</b:Last>
            <b:First>Odris</b:First>
          </b:Person>
          <b:Person>
            <b:Last>Lauretti</b:Last>
            <b:First>Paola</b:First>
          </b:Person>
          <b:Person>
            <b:Last>Sandoval De Araújo</b:Last>
            <b:First>Aída</b:First>
          </b:Person>
        </b:NameList>
      </b:Author>
    </b:Author>
    <b:City>Barranquilla, Colombia</b:City>
    <b:Month>julio-diciembre</b:Month>
    <b:Volume>16</b:Volume>
    <b:Issue>30</b:Issue>
    <b:YearAccessed>2022</b:YearAccessed>
    <b:MonthAccessed>enero</b:MonthAccessed>
    <b:URL>https://www.redalyc.org/articulo.oa?id=497552364010</b:URL>
    <b:RefOrder>1342</b:RefOrder>
  </b:Source>
  <b:Source>
    <b:Tag>Mac02</b:Tag>
    <b:SourceType>JournalArticle</b:SourceType>
    <b:Guid>{DDBECE8C-5F1F-4573-AA7F-F6AA9BE5C744}</b:Guid>
    <b:Author>
      <b:Author>
        <b:NameList>
          <b:Person>
            <b:Last>Macías</b:Last>
            <b:First>María</b:First>
            <b:Middle>Amarís</b:Middle>
          </b:Person>
        </b:NameList>
      </b:Author>
    </b:Author>
    <b:Title>LAS MÚLTIPLES INTELIGENCIAS</b:Title>
    <b:JournalName>Psicología desde el Caribe</b:JournalName>
    <b:Year>2002</b:Year>
    <b:Pages>27-38</b:Pages>
    <b:City>Barranquilla, Colombia</b:City>
    <b:Month>agosto-diciembre</b:Month>
    <b:Issue>10</b:Issue>
    <b:YearAccessed>2022</b:YearAccessed>
    <b:MonthAccessed>enero</b:MonthAccessed>
    <b:URL>https://www.redalyc.org/pdf/213/21301003.pdf</b:URL>
    <b:RefOrder>1343</b:RefOrder>
  </b:Source>
  <b:Source>
    <b:Tag>Guz05</b:Tag>
    <b:SourceType>JournalArticle</b:SourceType>
    <b:Guid>{C7C7DAF9-3031-4D26-B632-FA89A2645F4E}</b:Guid>
    <b:Author>
      <b:Author>
        <b:NameList>
          <b:Person>
            <b:Last>Guzmán</b:Last>
            <b:First>BelKys</b:First>
          </b:Person>
          <b:Person>
            <b:Last>Castro</b:Last>
            <b:First>Santiago</b:First>
          </b:Person>
        </b:NameList>
      </b:Author>
    </b:Author>
    <b:Title>Las inteligencias múltiples en el aula de clases</b:Title>
    <b:JournalName>Revista de Investigación</b:JournalName>
    <b:Year>2005</b:Year>
    <b:Pages>177-202</b:Pages>
    <b:City>Caracas, Venezuela</b:City>
    <b:Issue>58</b:Issue>
    <b:YearAccessed>2022</b:YearAccessed>
    <b:MonthAccessed>enero</b:MonthAccessed>
    <b:URL>https://www.redalyc.org/pdf/3761/376140372009.pdf</b:URL>
    <b:RefOrder>1344</b:RefOrder>
  </b:Source>
  <b:Source>
    <b:Tag>San13</b:Tag>
    <b:SourceType>JournalArticle</b:SourceType>
    <b:Guid>{0E5C69D3-A145-43C5-A11A-6E22E94242D4}</b:Guid>
    <b:Author>
      <b:Author>
        <b:NameList>
          <b:Person>
            <b:Last>Sanabria Hernández</b:Last>
            <b:First>Marcela</b:First>
          </b:Person>
        </b:NameList>
      </b:Author>
    </b:Author>
    <b:Title>La teoría de las inteligencias múltiples desde la perspectiva del asesoramiento</b:Title>
    <b:JournalName>Revista Espiga</b:JournalName>
    <b:Year>2013</b:Year>
    <b:Pages>33-55</b:Pages>
    <b:City>Costa Rica</b:City>
    <b:Month>enero-junio</b:Month>
    <b:Issue>25</b:Issue>
    <b:YearAccessed>2022</b:YearAccessed>
    <b:MonthAccessed>enero</b:MonthAccessed>
    <b:URL>https://www.redalyc.org/pdf/4678/467846257003.pdf</b:URL>
    <b:RefOrder>1345</b:RefOrder>
  </b:Source>
  <b:Source>
    <b:Tag>Bur19</b:Tag>
    <b:SourceType>JournalArticle</b:SourceType>
    <b:Guid>{541D7937-9450-4FAF-A224-DD0E991404FA}</b:Guid>
    <b:Author>
      <b:Author>
        <b:NameList>
          <b:Person>
            <b:Last>Burdíles</b:Last>
            <b:First>P.</b:First>
          </b:Person>
          <b:Person>
            <b:Last>Castro</b:Last>
            <b:First>M.</b:First>
          </b:Person>
          <b:Person>
            <b:Last>Simian</b:Last>
            <b:First>D.</b:First>
          </b:Person>
        </b:NameList>
      </b:Author>
    </b:Author>
    <b:Title>Planificación y factibilidad de un proyecto de investigación clínica</b:Title>
    <b:Year>2019</b:Year>
    <b:JournalName>Revista Médica Clínica Las Condes.</b:JournalName>
    <b:Pages>8-18</b:Pages>
    <b:RefOrder>1346</b:RefOrder>
  </b:Source>
  <b:Source>
    <b:Tag>Pac18</b:Tag>
    <b:SourceType>Report</b:SourceType>
    <b:Guid>{71D08578-FE3C-4BDE-825A-B5297F86641E}</b:Guid>
    <b:Author>
      <b:Author>
        <b:NameList>
          <b:Person>
            <b:Last>Pacheco</b:Last>
            <b:First>C.</b:First>
          </b:Person>
          <b:Person>
            <b:Last>Pérez</b:Last>
            <b:First>G.</b:First>
          </b:Person>
        </b:NameList>
      </b:Author>
    </b:Author>
    <b:Title>El proyecto de inversión como estrategia gerencial</b:Title>
    <b:Year>2018</b:Year>
    <b:Publisher>Instituto Mexicano de Contadores Públicos, A.C.</b:Publisher>
    <b:City>México </b:City>
    <b:RefOrder>1347</b:RefOrder>
  </b:Source>
  <b:Source>
    <b:Tag>Cam22</b:Tag>
    <b:SourceType>JournalArticle</b:SourceType>
    <b:Guid>{FC140D04-7CEC-48D6-A521-E96CA6D9ABD6}</b:Guid>
    <b:Title>Tuberculosis extrapulmonar caracteristicas epidemiologicas</b:Title>
    <b:Year>2022</b:Year>
    <b:Author>
      <b:Author>
        <b:NameList>
          <b:Person>
            <b:Last>Camacho</b:Last>
            <b:First>Adys</b:First>
          </b:Person>
          <b:Person>
            <b:Last>Acosta</b:Last>
            <b:First>Leonardo</b:First>
          </b:Person>
          <b:Person>
            <b:Last>Diaz</b:Last>
            <b:First>Jose</b:First>
          </b:Person>
          <b:Person>
            <b:Last>Pineda</b:Last>
            <b:First>Valeria</b:First>
          </b:Person>
          <b:Person>
            <b:Last>Vargas</b:Last>
            <b:First>Daniel</b:First>
          </b:Person>
          <b:Person>
            <b:Last>Perez</b:Last>
            <b:First>Carlos</b:First>
          </b:Person>
          <b:Person>
            <b:Last>Agamez</b:Last>
            <b:First>Jenifer</b:First>
          </b:Person>
        </b:NameList>
      </b:Author>
    </b:Author>
    <b:JournalName>Ciencia Latina</b:JournalName>
    <b:Pages>5-7</b:Pages>
    <b:DOI>https://doi.org/10.37811/cl_rcm.v6i4.2638</b:DOI>
    <b:LCID>es-EC</b:LCID>
    <b:RefOrder>1348</b:RefOrder>
  </b:Source>
  <b:Source>
    <b:Tag>Hér23</b:Tag>
    <b:SourceType>JournalArticle</b:SourceType>
    <b:Guid>{B8F27335-08A9-4A4E-8DCB-F1BCCD94A6D2}</b:Guid>
    <b:Title>Tuberculosis extrapulmonar: un problema de salud pública</b:Title>
    <b:JournalName>Scielo</b:JournalName>
    <b:Year>2023</b:Year>
    <b:Author>
      <b:Author>
        <b:NameList>
          <b:Person>
            <b:Last>Hérnandez</b:Last>
            <b:First>Alejandro</b:First>
          </b:Person>
          <b:Person>
            <b:Last>Quintana</b:Last>
            <b:First>Andrea</b:First>
          </b:Person>
          <b:Person>
            <b:Last>Quintanar</b:Last>
            <b:First>Inés</b:First>
          </b:Person>
          <b:Person>
            <b:Last>Álvarez </b:Last>
            <b:First>Pablo</b:First>
          </b:Person>
          <b:Person>
            <b:Last>Reding </b:Last>
            <b:First>Arturo</b:First>
          </b:Person>
        </b:NameList>
      </b:Author>
    </b:Author>
    <b:Volume>91</b:Volume>
    <b:Issue>1</b:Issue>
    <b:DOI>https://doi.org/10.24875/ciru.21000688</b:DOI>
    <b:RefOrder>1349</b:RefOrder>
  </b:Source>
  <b:Source>
    <b:Tag>Ama22</b:Tag>
    <b:SourceType>JournalArticle</b:SourceType>
    <b:Guid>{EF7EBE98-86E2-43F2-A39E-697B34D4EF94}</b:Guid>
    <b:Author>
      <b:Author>
        <b:NameList>
          <b:Person>
            <b:Last>Amado</b:Last>
            <b:First>Sandra</b:First>
          </b:Person>
          <b:Person>
            <b:Last>Moreno</b:Last>
            <b:First>Sebastian</b:First>
          </b:Person>
          <b:Person>
            <b:Last>Martinez</b:Last>
            <b:First>Samuel</b:First>
          </b:Person>
          <b:Person>
            <b:Last>Lasso</b:Last>
            <b:First>Javier</b:First>
          </b:Person>
          <b:Person>
            <b:Last>Lasserna</b:Last>
            <b:First>Andres</b:First>
          </b:Person>
        </b:NameList>
      </b:Author>
    </b:Author>
    <b:Title>Tuberculosis extrapulmonar: un reto clinico vigente</b:Title>
    <b:JournalName>Revista Javeriana</b:JournalName>
    <b:Year>2022</b:Year>
    <b:Pages>2-4</b:Pages>
    <b:Volume>61</b:Volume>
    <b:Issue>4</b:Issue>
    <b:DOI>https://doi.org/10.11144/Javeriana.umed61-4.reto</b:DOI>
    <b:RefOrder>1350</b:RefOrder>
  </b:Source>
  <b:Source>
    <b:Tag>Car22</b:Tag>
    <b:SourceType>JournalArticle</b:SourceType>
    <b:Guid>{9E20F4F3-66E6-4327-9782-72ABFB94EF6A}</b:Guid>
    <b:Title>Mycobacterium tuberculosis en muestras de pacientes pulmonares y extrapulmonares del Hospital Vicente Corral Moscoso</b:Title>
    <b:JournalName>Revista Investigación en salud</b:JournalName>
    <b:Year>2022</b:Year>
    <b:Author>
      <b:Author>
        <b:NameList>
          <b:Person>
            <b:Last>Carlita</b:Last>
            <b:First>Ortiz</b:First>
          </b:Person>
          <b:Person>
            <b:Last>Aspiazu</b:Last>
            <b:First>Karla</b:First>
          </b:Person>
        </b:NameList>
      </b:Author>
    </b:Author>
    <b:Volume>5</b:Volume>
    <b:Issue>14</b:Issue>
    <b:DOI>https://doi.org/10.33996/revistavive.v5i14.161</b:DOI>
    <b:RefOrder>1351</b:RefOrder>
  </b:Source>
  <b:Source>
    <b:Tag>Tey19</b:Tag>
    <b:SourceType>JournalArticle</b:SourceType>
    <b:Guid>{2D9384BA-2267-4B35-A6D0-952B77700583}</b:Guid>
    <b:Title>Bacteriologically confirmed extra pulmonary tuberculosis and treatment outcome of patients consulted and treated under program conditions in the littoral region of Cameroon</b:Title>
    <b:JournalName>BMC Pulmonary Medicine</b:JournalName>
    <b:Year>2019</b:Year>
    <b:Author>
      <b:Author>
        <b:NameList>
          <b:Person>
            <b:Last>Teyim</b:Last>
            <b:First>Orgullo</b:First>
          </b:Person>
          <b:Person>
            <b:Last>Anyangwe</b:Last>
            <b:First>Irene</b:First>
          </b:Person>
          <b:Person>
            <b:Last>Wandji </b:Last>
            <b:First>Adeline</b:First>
          </b:Person>
          <b:Person>
            <b:Last>Thumano</b:Last>
            <b:First>Benjamín</b:First>
          </b:Person>
          <b:Person>
            <b:Last>Dilonga </b:Last>
            <b:First>Henry</b:First>
          </b:Person>
        </b:NameList>
      </b:Author>
    </b:Author>
    <b:Volume>19</b:Volume>
    <b:Issue>17</b:Issue>
    <b:DOI>https://doi.org/10.1186/s12890-018-0770-x</b:DOI>
    <b:RefOrder>1352</b:RefOrder>
  </b:Source>
  <b:Source>
    <b:Tag>Org21</b:Tag>
    <b:SourceType>InternetSite</b:SourceType>
    <b:Guid>{5796B9EF-8F15-4FFF-9FC9-7AAD8F609DC8}</b:Guid>
    <b:Author>
      <b:Author>
        <b:Corporate>Organizacion Mudial de la Salud</b:Corporate>
      </b:Author>
    </b:Author>
    <b:Title>Tuberculosis</b:Title>
    <b:Year>2021</b:Year>
    <b:Month>Octubre</b:Month>
    <b:URL>https://www.who.int/es/news-room/fact-sheets/detail/tuberculosis</b:URL>
    <b:RefOrder>1353</b:RefOrder>
  </b:Source>
  <b:Source>
    <b:Tag>Org211</b:Tag>
    <b:SourceType>JournalArticle</b:SourceType>
    <b:Guid>{09ECFAC6-7884-4008-A3B1-8325562B5C50}</b:Guid>
    <b:Author>
      <b:Author>
        <b:Corporate>Organizacion mundial de la salud</b:Corporate>
      </b:Author>
    </b:Author>
    <b:Title>Informe mundial sobre la tuberculosis</b:Title>
    <b:Year>2021</b:Year>
    <b:JournalName>Ginebra</b:JournalName>
    <b:URL>https://apps.who.int/iris/bitstream/handle/10665/340396/9789240022652-spa.pdf?sequence=1&amp;isAllowed=y</b:URL>
    <b:RefOrder>1354</b:RefOrder>
  </b:Source>
  <b:Source>
    <b:Tag>Gra20</b:Tag>
    <b:SourceType>JournalArticle</b:SourceType>
    <b:Guid>{3C3E088F-44CB-4761-866E-94940DA98CC0}</b:Guid>
    <b:Author>
      <b:Author>
        <b:NameList>
          <b:Person>
            <b:Last>Grave</b:Last>
            <b:First>Yanara</b:First>
          </b:Person>
          <b:Person>
            <b:Last>Grenot</b:Last>
            <b:First>Yander</b:First>
          </b:Person>
          <b:Person>
            <b:Last>Guillen</b:Last>
            <b:First>José</b:First>
          </b:Person>
        </b:NameList>
      </b:Author>
    </b:Author>
    <b:Title>Aspectos clínicos y epidemiológicos de los pacientes con tuberculosis extrapulmonar en la provincia de Santiago de Cuba</b:Title>
    <b:JournalName>Scielo</b:JournalName>
    <b:Year>2020</b:Year>
    <b:Volume>24</b:Volume>
    <b:Issue>1</b:Issue>
    <b:URL>http://scielo.sld.cu/scielo.php?script=sci_arttext&amp;pid=S1029-30192020000100029</b:URL>
    <b:RefOrder>1355</b:RefOrder>
  </b:Source>
  <b:Source>
    <b:Tag>Mon19</b:Tag>
    <b:SourceType>JournalArticle</b:SourceType>
    <b:Guid>{7EFFF6EF-6786-4070-BA8F-3D2EAD3AAE80}</b:Guid>
    <b:Author>
      <b:Author>
        <b:NameList>
          <b:Person>
            <b:Last>Montiel</b:Last>
            <b:First>Dora</b:First>
          </b:Person>
          <b:Person>
            <b:Last>Escurra</b:Last>
            <b:First>Lizzie</b:First>
          </b:Person>
          <b:Person>
            <b:Last>Dominguez</b:Last>
            <b:First>Laura</b:First>
          </b:Person>
        </b:NameList>
      </b:Author>
    </b:Author>
    <b:Title>Características epidemiológicas y clínicas de pacientes con tuberculosis. Experiencia Hospital Nacional</b:Title>
    <b:JournalName>Revista cientifica ciencias de la salud</b:JournalName>
    <b:Year>2019</b:Year>
    <b:Volume>1</b:Volume>
    <b:Issue>2</b:Issue>
    <b:URL>http://scielo.iics.una.py/scielo.php?script=sci_arttext&amp;pid=S2664-28912019000200019</b:URL>
    <b:RefOrder>1356</b:RefOrder>
  </b:Source>
  <b:Source>
    <b:Tag>Jos10</b:Tag>
    <b:SourceType>JournalArticle</b:SourceType>
    <b:Guid>{3D480913-83A2-4793-99B4-E507C1359E32}</b:Guid>
    <b:Author>
      <b:Author>
        <b:NameList>
          <b:Person>
            <b:Last>Altuve</b:Last>
            <b:First>José</b:First>
          </b:Person>
        </b:NameList>
      </b:Author>
    </b:Author>
    <b:Title>El pensamiento crítico y su inserción en la educación superior</b:Title>
    <b:JournalName>Actualidad Contable Faces, vol. 13, núm. 20, enero-junio, 2010, pp. 5-18</b:JournalName>
    <b:Year>2010</b:Year>
    <b:Pages>15</b:Pages>
    <b:URL>https://www.redalyc.org/pdf/257/25715828002.pdf</b:URL>
    <b:RefOrder>1357</b:RefOrder>
  </b:Source>
  <b:Source>
    <b:Tag>Lóp19</b:Tag>
    <b:SourceType>JournalArticle</b:SourceType>
    <b:Guid>{1025770C-71D7-4690-A018-B42FB5B0B761}</b:Guid>
    <b:Title>Validación de instrumentos como garantía de la credibilidad en las investigaciones científicas.</b:Title>
    <b:Year>2019</b:Year>
    <b:JournalName>Revista Cubana de Medicina Militar. Vol. 48, No. 2</b:JournalName>
    <b:Pages>10-19</b:Pages>
    <b:Author>
      <b:Author>
        <b:NameList>
          <b:Person>
            <b:Last>López Fernández</b:Last>
            <b:First>Raúl</b:First>
          </b:Person>
          <b:Person>
            <b:Last>Palmero Urquiza</b:Last>
            <b:First>Diana</b:First>
            <b:Middle>E</b:Middle>
          </b:Person>
          <b:Person>
            <b:Last>Quientana Álvarez</b:Last>
            <b:First>Moises</b:First>
          </b:Person>
        </b:NameList>
      </b:Author>
    </b:Author>
    <b:Volume>48</b:Volume>
    <b:Issue>2</b:Issue>
    <b:RefOrder>1358</b:RefOrder>
  </b:Source>
  <b:Source>
    <b:Tag>Raú16</b:Tag>
    <b:SourceType>Book</b:SourceType>
    <b:Guid>{AF1DB50D-CE80-4445-ADBE-4D4EF61F0D66}</b:Guid>
    <b:Title>Expertos y prospectiva en la investigación pedagógica</b:Title>
    <b:Year>2016</b:Year>
    <b:City>Cienfuegos</b:City>
    <b:Publisher>Editorial Universo Sur</b:Publisher>
    <b:Author>
      <b:Author>
        <b:NameList>
          <b:Person>
            <b:Last>López Fernández</b:Last>
            <b:First>Raúl</b:First>
          </b:Person>
          <b:Person>
            <b:Last>Hurtado</b:Last>
            <b:First>Eric</b:First>
            <b:Middle>Crespo</b:Middle>
          </b:Person>
          <b:Person>
            <b:Last>Borges</b:Last>
            <b:First>Tomás</b:First>
            <b:Middle>Pascual Crespo</b:Middle>
          </b:Person>
          <b:Person>
            <b:Last>Franco</b:Last>
            <b:First>Jorge</b:First>
            <b:Middle>Salomón Fadul</b:Middle>
          </b:Person>
          <b:Person>
            <b:Last>Saltos</b:Last>
            <b:First>María</b:First>
            <b:Middle>Beatriz García</b:Middle>
          </b:Person>
          <b:Person>
            <b:Last>Maldonado</b:Last>
            <b:First>Fernando</b:First>
            <b:Middle>Xavier Juca</b:Middle>
          </b:Person>
          <b:Person>
            <b:Last>Andrade</b:Last>
            <b:First>María</b:First>
            <b:Middle>Isabel Bastidas</b:Middle>
          </b:Person>
          <b:Person>
            <b:Last>Urquiza</b:Last>
            <b:First>Diana</b:First>
            <b:Middle>Elisa Palmero</b:Middle>
          </b:Person>
        </b:NameList>
      </b:Author>
    </b:Author>
    <b:CountryRegion>Cuba</b:CountryRegion>
    <b:URL>https://universosur.ucf.edu.cu/?p=889</b:URL>
    <b:RefOrder>1359</b:RefOrder>
  </b:Source>
  <b:Source>
    <b:Tag>fin21</b:Tag>
    <b:SourceType>Book</b:SourceType>
    <b:Guid>{F19BA677-CAE0-4C25-AB47-7EE2433FA6D2}</b:Guid>
    <b:Title>Estructura del sector público</b:Title>
    <b:Year>2021</b:Year>
    <b:City>Quito-Ecuador</b:City>
    <b:Author>
      <b:Author>
        <b:Corporate>Normativa de Sistema Nacional de las Finanzas Pùblicas</b:Corporate>
      </b:Author>
    </b:Author>
    <b:URL>file:///C:/Users/LENOVO/Downloads/Normativa-tecnica-SINFIP-2021.pdf</b:URL>
    <b:RefOrder>1360</b:RefOrder>
  </b:Source>
  <b:Source>
    <b:Tag>Cód10</b:Tag>
    <b:SourceType>Book</b:SourceType>
    <b:Guid>{1BCE6C02-3D12-45D6-9B57-5BE1132F3FB9}</b:Guid>
    <b:Author>
      <b:Author>
        <b:Corporate>Código Orgánico de Organización Territorial, Autonomía y Descentralización</b:Corporate>
      </b:Author>
    </b:Author>
    <b:Title>Art. 28 Gobiernos Autónomos Descentralizados</b:Title>
    <b:Year>2010</b:Year>
    <b:City>Quito-Ecuador</b:City>
    <b:URL>file:///C:/Users/LENOVO/Downloads/cootad.pdf</b:URL>
    <b:Edition>2019, diciembre 31</b:Edition>
    <b:RefOrder>1361</b:RefOrder>
  </b:Source>
  <b:Source>
    <b:Tag>Pla21</b:Tag>
    <b:SourceType>Book</b:SourceType>
    <b:Guid>{E5378A0C-E38E-4255-945D-B65629FF4E62}</b:Guid>
    <b:Title>Plan de Creaciòn de Oportunidades 2021-2025 de Ecuador</b:Title>
    <b:Year>2021</b:Year>
    <b:URL>https://observatorioplanificacion.cepal.org/sites/default/files/plan/files/Plan-de-Creaci%C3%B3n-de-Oportunidades-2021-2025-Aprobado_compressed.pdf</b:URL>
    <b:Author>
      <b:Author>
        <b:Corporate>Secretaria Nacional de Planificación</b:Corporate>
      </b:Author>
    </b:Author>
    <b:City>Quito-Ecuador</b:City>
    <b:RefOrder>1362</b:RefOrder>
  </b:Source>
  <b:Source>
    <b:Tag>Che20</b:Tag>
    <b:SourceType>Book</b:SourceType>
    <b:Guid>{3130BBF3-5323-4001-872D-EE0C84418979}</b:Guid>
    <b:Title>Presupuestos. Presupuesto en el sector público</b:Title>
    <b:Year>2020</b:Year>
    <b:City>Trujillo</b:City>
    <b:Publisher>Ediciones Carolina (Trujillo)</b:Publisher>
    <b:Author>
      <b:Author>
        <b:NameList>
          <b:Person>
            <b:Last>Chero Fernández</b:Last>
            <b:First>Armando</b:First>
          </b:Person>
        </b:NameList>
      </b:Author>
    </b:Author>
    <b:URL>file:///C:/Users/LENOVO/Downloads/PRESUPUESTOS%20(3).pdf</b:URL>
    <b:RefOrder>1363</b:RefOrder>
  </b:Source>
  <b:Source>
    <b:Tag>Izu18</b:Tag>
    <b:SourceType>JournalArticle</b:SourceType>
    <b:Guid>{A241BFC3-B8C1-47A0-BE64-7E4242A7E67C}</b:Guid>
    <b:Title>Modelode evaluación presupuestaria para los gobiernos autónomos descentralizados municipales</b:Title>
    <b:Year>2018</b:Year>
    <b:JournalName>Caribeña de Ciencias Sociales</b:JournalName>
    <b:Author>
      <b:Author>
        <b:NameList>
          <b:Person>
            <b:Last>Izurieta</b:Last>
            <b:First>Mónica</b:First>
          </b:Person>
        </b:NameList>
      </b:Author>
    </b:Author>
    <b:URL>https://www.eumed.net/rev/caribe/2018/07/evaluacion-presupuestaria-gobiernos.html</b:URL>
    <b:RefOrder>1364</b:RefOrder>
  </b:Source>
  <b:Source>
    <b:Tag>Minsf</b:Tag>
    <b:SourceType>InternetSite</b:SourceType>
    <b:Guid>{013F7F70-ACBF-42E6-A715-5EB658CAFD55}</b:Guid>
    <b:Title>Ministerio de Economía y Finanzas</b:Title>
    <b:InternetSiteTitle>Presupuesto general del estado</b:InternetSiteTitle>
    <b:Year>s.f</b:Year>
    <b:URL>https://www.finanzas.gob.ec/el-presupuesto-general-del-estado/</b:URL>
    <b:RefOrder>1365</b:RefOrder>
  </b:Source>
  <b:Source>
    <b:Tag>Cód101</b:Tag>
    <b:SourceType>Book</b:SourceType>
    <b:Guid>{2DDD84F7-B5A4-41B2-A0E2-968C3A2FEA79}</b:Guid>
    <b:Author>
      <b:Author>
        <b:Corporate>COOTAD</b:Corporate>
      </b:Author>
    </b:Author>
    <b:Title>Art. 215 Presupuesto</b:Title>
    <b:Year>2010</b:Year>
    <b:City>Quito-Ecuador</b:City>
    <b:URL>file:///C:/Users/LENOVO/Downloads/cootad.pdf</b:URL>
    <b:RefOrder>1366</b:RefOrder>
  </b:Source>
  <b:Source>
    <b:Tag>Cer22</b:Tag>
    <b:SourceType>InternetSite</b:SourceType>
    <b:Guid>{FA0421C2-335F-4AD9-9A17-B4D314978823}</b:Guid>
    <b:Title>Administración y finanzas, Evaluación presupuestaria, Fines de la evaluación presupuestaria</b:Title>
    <b:Year>2022</b:Year>
    <b:InternetSiteTitle>Monografías plus</b:InternetSiteTitle>
    <b:URL>https://www.monografias.com/trabajos28/evaluacion-presupuestaria/evaluacion-presupuestaria#fines</b:URL>
    <b:Author>
      <b:Author>
        <b:NameList>
          <b:Person>
            <b:Last>Cerna</b:Last>
            <b:First>Luis</b:First>
            <b:Middle>Alfonzo</b:Middle>
          </b:Person>
        </b:NameList>
      </b:Author>
    </b:Author>
    <b:RefOrder>1367</b:RefOrder>
  </b:Source>
  <b:Source>
    <b:Tag>Rad22</b:Tag>
    <b:SourceType>Book</b:SourceType>
    <b:Guid>{996A8294-8569-435F-83B6-20C6DF68811D}</b:Guid>
    <b:Title>Panorama de las relaciones fiscales entre niveles de gobierno de países de América </b:Title>
    <b:Year>2022</b:Year>
    <b:URL>file:///C:/Users/LENOVO/AppData/Local/Temp/Rar$DIa36176.30911/S2100739_esInternacional.pdf</b:URL>
    <b:Author>
      <b:Author>
        <b:NameList>
          <b:Person>
            <b:Last>Radics</b:Last>
            <b:First>Axel</b:First>
          </b:Person>
        </b:NameList>
      </b:Author>
    </b:Author>
    <b:RefOrder>1368</b:RefOrder>
  </b:Source>
  <b:Source>
    <b:Tag>MarcadorDePosición128</b:Tag>
    <b:SourceType>InternetSite</b:SourceType>
    <b:Guid>{13E71F88-D985-4EBA-8B3A-2FE19613AC9D}</b:Guid>
    <b:Author>
      <b:Author>
        <b:NameList>
          <b:Person>
            <b:Last>González</b:Last>
            <b:First>Mario</b:First>
            <b:Middle>Alexis</b:Middle>
          </b:Person>
        </b:NameList>
      </b:Author>
    </b:Author>
    <b:Title>Primicias</b:Title>
    <b:InternetSiteTitle>Primicias</b:InternetSiteTitle>
    <b:Year>2021</b:Year>
    <b:Month>Octubre </b:Month>
    <b:Day>29</b:Day>
    <b:URL>https://www.primicias.ec/noticias/sociedad/masacres-carcelarias-distorsionan-cifras-muertes/</b:URL>
    <b:RefOrder>1369</b:RefOrder>
  </b:Source>
  <b:Source xmlns:b="http://schemas.openxmlformats.org/officeDocument/2006/bibliography">
    <b:Tag>Mor211</b:Tag>
    <b:SourceType>DocumentFromInternetSite</b:SourceType>
    <b:Guid>{A06E9D93-1120-4A1D-B8E7-BD6C555CD01F}</b:Guid>
    <b:Title>Universidad Internacional SEK</b:Title>
    <b:Year>2021</b:Year>
    <b:Month>Marzo</b:Month>
    <b:Author>
      <b:Author>
        <b:NameList>
          <b:Person>
            <b:Last>Moreta</b:Last>
            <b:First>Colcha</b:First>
            <b:Middle>Byron Fabián</b:Middle>
          </b:Person>
        </b:NameList>
      </b:Author>
    </b:Author>
    <b:InternetSiteTitle>Universidad Internacional SEK</b:InternetSiteTitle>
    <b:URL>https://repositorio.uisek.edu.ec/bitstream/123456789/4176/1/Moreta%20Colcha%20Byron%20Fabi%c3%a1n.pdf</b:URL>
    <b:RefOrder>1370</b:RefOrder>
  </b:Source>
  <b:Source>
    <b:Tag>Lid20</b:Tag>
    <b:SourceType>JournalArticle</b:SourceType>
    <b:Guid>{1A2B20EE-47B3-46AA-972D-933B16A23E65}</b:Guid>
    <b:Author>
      <b:Author>
        <b:NameList>
          <b:Person>
            <b:Last>Lidiany da Silva Venancio</b:Last>
            <b:First>Bernardo</b:First>
            <b:Middle>Diniz Coutinho, Daniela Gardano Bucharles Mont’Alverne, Rodrigo Fragoso Andrade</b:Middle>
          </b:Person>
        </b:NameList>
      </b:Author>
    </b:Author>
    <b:Title>Burnout and quality of life among </b:Title>
    <b:Year>2020</b:Year>
    <b:RefOrder>1371</b:RefOrder>
  </b:Source>
  <b:Source>
    <b:Tag>Ofi86</b:Tag>
    <b:SourceType>JournalArticle</b:SourceType>
    <b:Guid>{60BE8D3C-0015-47F8-85AC-ACF3F7BE910A}</b:Guid>
    <b:Author>
      <b:Author>
        <b:NameList>
          <b:Person>
            <b:Last>Trabajo</b:Last>
            <b:First>Oficina</b:First>
            <b:Middle>Internacional del</b:Middle>
          </b:Person>
        </b:NameList>
      </b:Author>
    </b:Author>
    <b:Title>Factores Psicosociales en el Trabajo </b:Title>
    <b:Year>1986</b:Year>
    <b:RefOrder>1372</b:RefOrder>
  </b:Source>
  <b:Source>
    <b:Tag>Acu16</b:Tag>
    <b:SourceType>JournalArticle</b:SourceType>
    <b:Guid>{16FD717A-B8CF-4D40-BD17-F50B273D9FEB}</b:Guid>
    <b:Title>El fútbol como producto cultural: Revisión y análisis bibliográfico</b:Title>
    <b:JournalName>Citius, Altius, Fortius</b:JournalName>
    <b:Year>2016</b:Year>
    <b:Pages>31-58</b:Pages>
    <b:Author>
      <b:Author>
        <b:NameList>
          <b:Person>
            <b:Last>Acuña</b:Last>
            <b:First>Guillermo</b:First>
          </b:Person>
          <b:Person>
            <b:Last>Acuña</b:Last>
            <b:First>Ángel</b:First>
          </b:Person>
        </b:NameList>
      </b:Author>
    </b:Author>
    <b:URL>https://repositorio.uam.es/bitstream/handle/10486/677152/CAF_9_2_3.pdf?sequence=1&amp;isAllowed=y</b:URL>
    <b:RefOrder>1373</b:RefOrder>
  </b:Source>
  <b:Source>
    <b:Tag>Gar11</b:Tag>
    <b:SourceType>JournalArticle</b:SourceType>
    <b:Guid>{EF4BB796-309C-40FD-876B-E60F09ECA219}</b:Guid>
    <b:Title>El análisis de la realidad del fútbol desde una perspectiva científica.</b:Title>
    <b:JournalName>Revista de Psicología del Deporte</b:JournalName>
    <b:Year>2011</b:Year>
    <b:Pages>808-813</b:Pages>
    <b:Author>
      <b:Author>
        <b:NameList>
          <b:Person>
            <b:Last>Garcia</b:Last>
            <b:First>O</b:First>
          </b:Person>
          <b:Person>
            <b:Last>Serrano</b:Last>
            <b:First>V</b:First>
          </b:Person>
        </b:NameList>
      </b:Author>
    </b:Author>
    <b:Volume>20</b:Volume>
    <b:Issue>2</b:Issue>
    <b:URL>https://www.redalyc.org/pdf/2351/235122167038.pdf</b:URL>
    <b:RefOrder>1374</b:RefOrder>
  </b:Source>
  <b:Source>
    <b:Tag>JMa</b:Tag>
    <b:SourceType>JournalArticle</b:SourceType>
    <b:Guid>{B64BAB9F-4F8F-44D5-94FE-910E87C6F180}</b:Guid>
    <b:Title>Estructura condicional del juego del futbol y evaluación de la condición física, como base para la metodología en la preparación física.</b:Title>
    <b:Author>
      <b:Author>
        <b:NameList>
          <b:Person>
            <b:Last>Masach</b:Last>
            <b:First>J</b:First>
          </b:Person>
        </b:NameList>
      </b:Author>
    </b:Author>
    <b:Year>2008</b:Year>
    <b:RefOrder>1375</b:RefOrder>
  </b:Source>
  <b:Source>
    <b:Tag>Hof04</b:Tag>
    <b:SourceType>JournalArticle</b:SourceType>
    <b:Guid>{06139B52-973E-4FAF-99AC-B2DB6F6A9C11}</b:Guid>
    <b:Title>Endurance and Strength Training for Soccer Players</b:Title>
    <b:JournalName>Sports Medicine</b:JournalName>
    <b:Year>2004</b:Year>
    <b:Pages>165-180</b:Pages>
    <b:Author>
      <b:Author>
        <b:NameList>
          <b:Person>
            <b:Last>Hoff</b:Last>
            <b:First>Jan </b:First>
          </b:Person>
          <b:Person>
            <b:Last>Helgerud</b:Last>
            <b:First>Jan</b:First>
          </b:Person>
        </b:NameList>
      </b:Author>
    </b:Author>
    <b:Volume>3</b:Volume>
    <b:URL>http://www.dinesider.no/customer/016271/archive/files/Fagartikler/Fysisk%20trening/utholdenhet%20og%20styrketrening%20for%20fotballspillere.pdf</b:URL>
    <b:RefOrder>1376</b:RefOrder>
  </b:Source>
  <b:Source>
    <b:Tag>Ala15</b:Tag>
    <b:SourceType>JournalArticle</b:SourceType>
    <b:Guid>{8B70F1F6-E4D9-4C63-88EC-8CF645DF1679}</b:Guid>
    <b:Title>El tiempo de reacción como predictor de la velocidad de cambio de dirección en jugadores de fútbol masculinos</b:Title>
    <b:Year>2015</b:Year>
    <b:Pages>220-225</b:Pages>
    <b:Author>
      <b:Author>
        <b:NameList>
          <b:Person>
            <b:Last>Alanazi</b:Last>
            <b:Middle>Mohammed</b:Middle>
            <b:First>Homoud </b:First>
          </b:Person>
          <b:Person>
            <b:Last>Aouadi</b:Last>
            <b:First>Ridha</b:First>
          </b:Person>
        </b:NameList>
      </b:Author>
      <b:Editor>
        <b:NameList>
          <b:Person>
            <b:Last>3</b:Last>
          </b:Person>
        </b:NameList>
      </b:Editor>
    </b:Author>
    <b:Volume>15</b:Volume>
    <b:URL>https://www.sjosm.org/temp/SaudiJSportsMed153220-5898099_013818.pdf</b:URL>
    <b:RefOrder>1377</b:RefOrder>
  </b:Source>
  <b:Source>
    <b:Tag>Gar16</b:Tag>
    <b:SourceType>JournalArticle</b:SourceType>
    <b:Guid>{CDB34561-538A-4C87-97FD-FCBF6F06E131}</b:Guid>
    <b:Title>Efectos de 8 Semanas de Entrenamiento Pliométrico y Entrenamiento Resistido Mediante Trineo en el Rendimiento de Salto Vertical y Esprint en Futbolistas Amateurs</b:Title>
    <b:JournalName>Journal Kronos</b:JournalName>
    <b:Year>2016</b:Year>
    <b:Author>
      <b:Author>
        <b:NameList>
          <b:Person>
            <b:Last>Garcia</b:Last>
            <b:First>Francisco</b:First>
          </b:Person>
          <b:Person>
            <b:Last>Peña </b:Last>
            <b:First>Javier</b:First>
          </b:Person>
        </b:NameList>
      </b:Author>
    </b:Author>
    <b:URL>https://abacus.universidadeuropea.com/bitstream/handle/11268/6148/Kronos_2016_15_2_6.pdf;jsessionid=1C0981092042ADEF361F917C3D657A6A?sequence=2</b:URL>
    <b:RefOrder>1378</b:RefOrder>
  </b:Source>
  <b:Source>
    <b:Tag>Chu16</b:Tag>
    <b:SourceType>JournalArticle</b:SourceType>
    <b:Guid>{694AA790-6A8C-492F-8C30-42E205E1F179}</b:Guid>
    <b:Title>Ejercicios pliométricos para un entrenamiento completo</b:Title>
    <b:JournalName>Badalona</b:JournalName>
    <b:Year>2016</b:Year>
    <b:Author>
      <b:Author>
        <b:NameList>
          <b:Person>
            <b:Last>Chu</b:Last>
            <b:First>Donald </b:First>
          </b:Person>
          <b:Person>
            <b:Last>Myer</b:Last>
            <b:First>Gregory</b:First>
          </b:Person>
        </b:NameList>
      </b:Author>
    </b:Author>
    <b:Publisher>Paidotribio</b:Publisher>
    <b:RefOrder>1379</b:RefOrder>
  </b:Source>
  <b:Source>
    <b:Tag>Bos91</b:Tag>
    <b:SourceType>Book</b:SourceType>
    <b:Guid>{5DA495E1-75E1-461A-A5BF-D3CFB6504AD1}</b:Guid>
    <b:Title>Aspectos físologicos de la preparación física del futbolista.</b:Title>
    <b:Year>1991</b:Year>
    <b:City>Barcelona</b:City>
    <b:Publisher>Paidotribo</b:Publisher>
    <b:Author>
      <b:Author>
        <b:NameList>
          <b:Person>
            <b:Last>Bosco</b:Last>
            <b:First>Carmelo</b:First>
          </b:Person>
        </b:NameList>
      </b:Author>
    </b:Author>
    <b:URL>https://www.agapea.com/libros/ASPECTOS-FISIOLOGICOS-PREPARACION-FISICA-FUTBOLISTA-9788486475789-i.htm</b:URL>
    <b:RefOrder>1380</b:RefOrder>
  </b:Source>
  <b:Source>
    <b:Tag>Ruí17</b:Tag>
    <b:SourceType>Book</b:SourceType>
    <b:Guid>{66433CD7-6B99-483B-B768-CE2B243A1B87}</b:Guid>
    <b:Title>Juegos cooperativos y educación física</b:Title>
    <b:Year>2019</b:Year>
    <b:Author>
      <b:Author>
        <b:NameList>
          <b:Person>
            <b:Last>Ruíz</b:Last>
            <b:First>J.</b:First>
          </b:Person>
          <b:Person>
            <b:Last>Omeñaca</b:Last>
            <b:First>R.</b:First>
          </b:Person>
        </b:NameList>
      </b:Author>
    </b:Author>
    <b:Publisher>Paidotribo</b:Publisher>
    <b:RefOrder>1381</b:RefOrder>
  </b:Source>
  <b:Source>
    <b:Tag>Gar1715</b:Tag>
    <b:SourceType>Book</b:SourceType>
    <b:Guid>{0DB03CCC-21C7-4878-9C83-86265DB456D5}</b:Guid>
    <b:Author>
      <b:Author>
        <b:NameList>
          <b:Person>
            <b:Last>Garaigordobil Landazabal</b:Last>
            <b:First>M.</b:First>
          </b:Person>
        </b:NameList>
      </b:Author>
    </b:Author>
    <b:Title>Juegos cooperativos y creativos para grupos de niños de 8 a 10 años</b:Title>
    <b:Year>2017</b:Year>
    <b:Publisher>Pirámides</b:Publisher>
    <b:RefOrder>1382</b:RefOrder>
  </b:Source>
  <b:Source>
    <b:Tag>Yug23</b:Tag>
    <b:SourceType>JournalArticle</b:SourceType>
    <b:Guid>{8A9F0CE0-CA5E-4456-9416-0CDE95DD7A34}</b:Guid>
    <b:Author>
      <b:Author>
        <b:NameList>
          <b:Person>
            <b:Last>Yugsi</b:Last>
            <b:First>E.</b:First>
          </b:Person>
          <b:Person>
            <b:Last>Jarrin</b:Last>
            <b:First>S.</b:First>
          </b:Person>
          <b:Person>
            <b:Last>Astudillo</b:Last>
            <b:First>X.</b:First>
          </b:Person>
        </b:NameList>
      </b:Author>
    </b:Author>
    <b:Title>Los Juegos cooperativos y su influencia en el autoconcepto físico en estudiantes de básica superior</b:Title>
    <b:JournalName>Pacha</b:JournalName>
    <b:Year>2023</b:Year>
    <b:Pages>1-18</b:Pages>
    <b:Publisher>4</b:Publisher>
    <b:Volume>10</b:Volume>
    <b:DOI>https://doi.org/10.46652/pacha.v4i10.181</b:DOI>
    <b:RefOrder>1383</b:RefOrder>
  </b:Source>
  <b:Source>
    <b:Tag>Gir17</b:Tag>
    <b:SourceType>Book</b:SourceType>
    <b:Guid>{63C85D0E-E11A-4E96-B145-FD382EE5C908}</b:Guid>
    <b:Author>
      <b:Author>
        <b:NameList>
          <b:Person>
            <b:Last>Giraldo</b:Last>
            <b:First>J.</b:First>
          </b:Person>
        </b:NameList>
      </b:Author>
    </b:Author>
    <b:Title>Juegos Cooperativos. Jugar para que todos ganen</b:Title>
    <b:Year>2017</b:Year>
    <b:Publisher>Océano Ambar</b:Publisher>
    <b:RefOrder>1384</b:RefOrder>
  </b:Source>
  <b:Source>
    <b:Tag>Yla18</b:Tag>
    <b:SourceType>Misc</b:SourceType>
    <b:Guid>{872184AC-3324-4C8C-B178-0767E743367D}</b:Guid>
    <b:Author>
      <b:Author>
        <b:NameList>
          <b:Person>
            <b:Last>Ylarragorry</b:Last>
            <b:First>E.</b:First>
          </b:Person>
        </b:NameList>
      </b:Author>
    </b:Author>
    <b:Title>Juegos cooperativos y su relación con las habilidades sociales.</b:Title>
    <b:Year>2018</b:Year>
    <b:PublicationTitle>Tesis de pregrado, Univewrsidad Católica Argentina</b:PublicationTitle>
    <b:URL>https://repositorio.uca.edu.ar/bitstream/123456789/563/1/doc.pdf</b:URL>
    <b:Publisher>Biblioteca digital</b:Publisher>
    <b:RefOrder>1385</b:RefOrder>
  </b:Source>
  <b:Source>
    <b:Tag>Mor213</b:Tag>
    <b:SourceType>Misc</b:SourceType>
    <b:Guid>{A52824E9-97DE-4FBE-9D54-F01DE57268D7}</b:Guid>
    <b:Author>
      <b:Author>
        <b:NameList>
          <b:Person>
            <b:Last>Moro Calderón</b:Last>
            <b:First>R.</b:First>
          </b:Person>
        </b:NameList>
      </b:Author>
    </b:Author>
    <b:Title>Los juegos cooperativos en Educación Física: propuesta de intervención. Tesis de maestría</b:Title>
    <b:Year>2021</b:Year>
    <b:Publisher>Uvadoc</b:Publisher>
    <b:PublicationTitle>Tesis de grado profesional, Universidad de Valladolid</b:PublicationTitle>
    <b:URL>https://uvadoc.uva.es/handle/10324/47423</b:URL>
    <b:RefOrder>1386</b:RefOrder>
  </b:Source>
  <b:Source>
    <b:Tag>Vel16</b:Tag>
    <b:SourceType>Book</b:SourceType>
    <b:Guid>{5DCABBD8-EFEB-4504-945F-B89D5F2C035A}</b:Guid>
    <b:Title>Aprendizaje cooperativo en Educación Física. Fundamentos y aplicaciones prácticas</b:Title>
    <b:Year>2016</b:Year>
    <b:Author>
      <b:Author>
        <b:NameList>
          <b:Person>
            <b:Last>Velázquez Callado</b:Last>
            <b:First>C.</b:First>
          </b:Person>
        </b:NameList>
      </b:Author>
    </b:Author>
    <b:Publisher>INDE</b:Publisher>
    <b:RefOrder>1387</b:RefOrder>
  </b:Source>
  <b:Source>
    <b:Tag>Gar1</b:Tag>
    <b:SourceType>Book</b:SourceType>
    <b:Guid>{E16E3D27-5E43-45A2-8D5D-D2455530D52E}</b:Guid>
    <b:Author>
      <b:Author>
        <b:NameList>
          <b:Person>
            <b:Last>Garvi</b:Last>
            <b:First>P.</b:First>
          </b:Person>
          <b:Person>
            <b:Last>García </b:Last>
            <b:First>L. </b:First>
          </b:Person>
          <b:Person>
            <b:Last>Fernández </b:Last>
            <b:First>J. </b:First>
          </b:Person>
        </b:NameList>
      </b:Author>
    </b:Author>
    <b:Title>Aprendizaje Cooperativo. Materiales curriculares para Educación Secundaria en Educación Física</b:Title>
    <b:Publisher>Universidad de Castilla-La Mancha</b:Publisher>
    <b:URL>https://www.google.com.ec/books/edition/Aprendizaje_cooperativo_Materiales_curri/bDiMEAAAQBAJ?hl=es-419&amp;gbpv=1&amp;dq=trabajos+cooperativos+en+educacion+fisica&amp;printsec=frontcover</b:URL>
    <b:Year>2022</b:Year>
    <b:RefOrder>1388</b:RefOrder>
  </b:Source>
  <b:Source>
    <b:Tag>Pal192</b:Tag>
    <b:SourceType>JournalArticle</b:SourceType>
    <b:Guid>{C4DCD977-DD48-4103-A2FF-7DF5E204197C}</b:Guid>
    <b:Title>Predominancia del autoconcepto en estudiantes con conductas antisociales del Callao</b:Title>
    <b:Year>2019</b:Year>
    <b:JournalName>Propósitos y Representaciones</b:JournalName>
    <b:Pages>325 - 352</b:Pages>
    <b:Volume>7</b:Volume>
    <b:Issue>2</b:Issue>
    <b:DOI>http://dx.doi.org/10.20511/pyr2019.v7n2.278</b:DOI>
    <b:Author>
      <b:Author>
        <b:NameList>
          <b:Person>
            <b:Last>Palacios</b:Last>
            <b:First>J.</b:First>
          </b:Person>
          <b:Person>
            <b:Last>Coveñas</b:Last>
            <b:First>J.</b:First>
          </b:Person>
        </b:NameList>
      </b:Author>
    </b:Author>
    <b:RefOrder>1389</b:RefOrder>
  </b:Source>
  <b:Source>
    <b:Tag>Mor053</b:Tag>
    <b:SourceType>JournalArticle</b:SourceType>
    <b:Guid>{B719A905-EF86-44AA-8036-E6BDFA2421C8}</b:Guid>
    <b:Title>Physical self-perception in spanish adolescents: gender and involvement in physical activity effects</b:Title>
    <b:Year>2005</b:Year>
    <b:Author>
      <b:Author>
        <b:NameList>
          <b:Person>
            <b:Last>Moreno</b:Last>
            <b:First>J.</b:First>
          </b:Person>
          <b:Person>
            <b:Last>Cervelló</b:Last>
            <b:First>E.</b:First>
          </b:Person>
        </b:NameList>
      </b:Author>
    </b:Author>
    <b:JournalName>Journal of Human Movement Studies</b:JournalName>
    <b:Pages>291-311</b:Pages>
    <b:Issue>48</b:Issue>
    <b:URL>https://www.researchgate.net/publication/288359063_Physical_self-perception_in_Spanish_adolescents_Effects_of_gender_and_involvement_in_physical_activity</b:URL>
    <b:RefOrder>1390</b:RefOrder>
  </b:Source>
  <b:Source>
    <b:Tag>Nav181</b:Tag>
    <b:SourceType>JournalArticle</b:SourceType>
    <b:Guid>{39FCF96E-5784-4BB5-95A4-BDFA79413F0D}</b:Guid>
    <b:Title>Incidencia de los juegos cooperativos en el autoconcepto físico de escolares de educación primaria</b:Title>
    <b:Year>2018</b:Year>
    <b:Author>
      <b:Author>
        <b:NameList>
          <b:Person>
            <b:Last>Navarro</b:Last>
            <b:First>R.</b:First>
          </b:Person>
          <b:Person>
            <b:Last>Rego</b:Last>
            <b:First>B.</b:First>
          </b:Person>
          <b:Person>
            <b:Last>García</b:Last>
            <b:First>M.</b:First>
          </b:Person>
        </b:NameList>
      </b:Author>
    </b:Author>
    <b:JournalName>Retos</b:JournalName>
    <b:Pages>14-18</b:Pages>
    <b:Issue>34</b:Issue>
    <b:URL>https://dialnet.unirioja.es/servlet/articulo?codigo=6736342</b:URL>
    <b:RefOrder>1391</b:RefOrder>
  </b:Source>
  <b:Source>
    <b:Tag>Mol161</b:Tag>
    <b:SourceType>JournalArticle</b:SourceType>
    <b:Guid>{B57EA103-A4D8-4BFC-8C46-204AB79FF349}</b:Guid>
    <b:Title>Los juegos cooperativos y su determinación en el autoconcepto físico del alumnado de 10-12 años</b:Title>
    <b:Year>2016</b:Year>
    <b:Author>
      <b:Author>
        <b:NameList>
          <b:Person>
            <b:Last>Molina Díaz</b:Last>
            <b:First>R.</b:First>
          </b:Person>
        </b:NameList>
      </b:Author>
    </b:Author>
    <b:URL>https://efdeportes.com/efd220/los-juegos-cooperativos-y-el-autoconcepto-fisico.htm</b:URL>
    <b:JournalName>Revista Digital. Buenos Aires</b:JournalName>
    <b:Volume>21</b:Volume>
    <b:Issue>220</b:Issue>
    <b:RefOrder>1392</b:RefOrder>
  </b:Source>
  <b:Source>
    <b:Tag>Muñ1517</b:Tag>
    <b:SourceType>Book</b:SourceType>
    <b:Guid>{98FF966A-4365-4B44-94C8-FBFE20CAE47A}</b:Guid>
    <b:Author>
      <b:Author>
        <b:NameList>
          <b:Person>
            <b:Last>Muñoz Rocha</b:Last>
            <b:First>C.</b:First>
          </b:Person>
        </b:NameList>
      </b:Author>
    </b:Author>
    <b:Title>Metodología de la investigación</b:Title>
    <b:Year>2015</b:Year>
    <b:Publisher>Oxford University Press</b:Publisher>
    <b:RefOrder>1393</b:RefOrder>
  </b:Source>
  <b:Source>
    <b:Tag>Fox89</b:Tag>
    <b:SourceType>JournalArticle</b:SourceType>
    <b:Guid>{A6C5EA26-ED29-42FD-9AEB-433011B6A2A5}</b:Guid>
    <b:Title>The Physical Self-Perception Profile: Development and preliminary validation</b:Title>
    <b:Year>1989</b:Year>
    <b:Author>
      <b:Author>
        <b:NameList>
          <b:Person>
            <b:Last>Fox</b:Last>
            <b:First>K.</b:First>
          </b:Person>
          <b:Person>
            <b:Last>Corbin</b:Last>
            <b:First>C.</b:First>
          </b:Person>
        </b:NameList>
      </b:Author>
    </b:Author>
    <b:JournalName>Journal of Sports &amp; Exercise Psychology</b:JournalName>
    <b:Pages>408-430</b:Pages>
    <b:Issue>11</b:Issue>
    <b:RefOrder>1394</b:RefOrder>
  </b:Source>
  <b:Source>
    <b:Tag>Rev16</b:Tag>
    <b:SourceType>JournalArticle</b:SourceType>
    <b:Guid>{C178DD7F-9871-4BB3-9442-BE2936BD47C8}</b:Guid>
    <b:Title>Relaciones entre el autoconcepto físico y la actividad físico-deportiva adolescente</b:Title>
    <b:Year>2016</b:Year>
    <b:Author>
      <b:Author>
        <b:NameList>
          <b:Person>
            <b:Last>Revuelta</b:Last>
            <b:First>L.</b:First>
          </b:Person>
          <b:Person>
            <b:Last>Esnaola</b:Last>
            <b:First>I.</b:First>
          </b:Person>
          <b:Person>
            <b:Last>Goñi</b:Last>
            <b:First>A.</b:First>
          </b:Person>
        </b:NameList>
      </b:Author>
    </b:Author>
    <b:JournalName>Revista Internacional de Medicina y Ciencias de la Actividad Física y el Deporte</b:JournalName>
    <b:Pages>561-581</b:Pages>
    <b:Volume>16</b:Volume>
    <b:Issue>62</b:Issue>
    <b:URL>http://cdeporte.rediris.es/revista/revista63/artrelaciones726.htm</b:URL>
    <b:RefOrder>1395</b:RefOrder>
  </b:Source>
  <b:Source>
    <b:Tag>Lin161</b:Tag>
    <b:SourceType>JournalArticle</b:SourceType>
    <b:Guid>{C9430C85-A1EA-4AB9-B9EE-868EF47D58E0}</b:Guid>
    <b:Author>
      <b:Author>
        <b:NameList>
          <b:Person>
            <b:Last>Linares-Manrique</b:Last>
            <b:First>M.</b:First>
          </b:Person>
          <b:Person>
            <b:Last>Linares-Girela</b:Last>
            <b:First>D.</b:First>
          </b:Person>
          <b:Person>
            <b:Last>Schmidt</b:Last>
            <b:First>J.</b:First>
          </b:Person>
          <b:Person>
            <b:Last>Mato</b:Last>
            <b:First>O.</b:First>
          </b:Person>
          <b:Person>
            <b:Last>Fernández</b:Last>
            <b:First>R.</b:First>
          </b:Person>
          <b:Person>
            <b:Last>Cruz</b:Last>
            <b:First>F.</b:First>
          </b:Person>
        </b:NameList>
      </b:Author>
    </b:Author>
    <b:Title>Relación entre autoconcepto físico, ansiedad e IMC en estudiantes universitarios mexicanos</b:Title>
    <b:JournalName>Revista Internacional de Medicina y Ciencias de la Actividad Física y el Deporte</b:JournalName>
    <b:Year>2016</b:Year>
    <b:Pages>497-519</b:Pages>
    <b:Volume>16</b:Volume>
    <b:Issue>62</b:Issue>
    <b:URL>http://cdeporte.rediris.es/revista/revista63/artautoconcepto719.htm</b:URL>
    <b:RefOrder>1396</b:RefOrder>
  </b:Source>
  <b:Source>
    <b:Tag>Mir201</b:Tag>
    <b:SourceType>Book</b:SourceType>
    <b:Guid>{7A1A58BF-FEF4-4568-A31A-EDFCB4953529}</b:Guid>
    <b:Title>Relación entre disfrute de la actividad física y el autoconcepto físico de los escolares</b:Title>
    <b:Year>2020</b:Year>
    <b:Author>
      <b:Author>
        <b:NameList>
          <b:Person>
            <b:Last>Miranda</b:Last>
            <b:First>D.</b:First>
          </b:Person>
          <b:Person>
            <b:Last>Vásquez</b:Last>
            <b:First>S.</b:First>
          </b:Person>
        </b:NameList>
      </b:Author>
    </b:Author>
    <b:Publisher>Universidad Andrés Bello</b:Publisher>
    <b:RefOrder>1397</b:RefOrder>
  </b:Source>
  <b:Source>
    <b:Tag>Cen21</b:Tag>
    <b:SourceType>Book</b:SourceType>
    <b:Guid>{60EC21CD-C296-4106-A2F4-52741135D3AA}</b:Guid>
    <b:Author>
      <b:Author>
        <b:Corporate>Centro de perfeccionamiento, experimentación e investigaciones educativas</b:Corporate>
      </b:Author>
    </b:Author>
    <b:Title>Estándares de la profesión docente, carrera de pedagogía en matemáticas educación media</b:Title>
    <b:Year>2021</b:Year>
    <b:City>Chile</b:City>
    <b:Publisher>Ministerio de Educación Alameda, Santiago</b:Publisher>
    <b:RefOrder>1398</b:RefOrder>
  </b:Source>
  <b:Source>
    <b:Tag>Bol20</b:Tag>
    <b:SourceType>JournalArticle</b:SourceType>
    <b:Guid>{492808B6-D88F-4AAC-AE9C-2720D5DD7DF7}</b:Guid>
    <b:Author>
      <b:Author>
        <b:NameList>
          <b:Person>
            <b:Last>Bolaño</b:Last>
            <b:First>Omaira</b:First>
          </b:Person>
        </b:NameList>
      </b:Author>
    </b:Author>
    <b:Title>El constructivismo: modelo pedagógico para la enseñanza de las matemáticas</b:Title>
    <b:JournalName>Educare</b:JournalName>
    <b:Year>2020</b:Year>
    <b:Pages>489</b:Pages>
    <b:RefOrder>1399</b:RefOrder>
  </b:Source>
  <b:Source>
    <b:Tag>MarcadorDePosición129</b:Tag>
    <b:SourceType>JournalArticle</b:SourceType>
    <b:Guid>{30FA25B3-32A0-4A6B-861F-D84496EBFB6E}</b:Guid>
    <b:Author>
      <b:Author>
        <b:NameList>
          <b:Person>
            <b:Last>Rodriguez</b:Last>
            <b:First>Irma</b:First>
          </b:Person>
          <b:Person>
            <b:Last>Torrealba</b:Last>
            <b:First>Aura</b:First>
          </b:Person>
        </b:NameList>
      </b:Author>
    </b:Author>
    <b:Title>Dificultades que conducen a errores en el aprendizajede lenguaje algebraico de estudiantes de tercer aó  de educación general media</b:Title>
    <b:Year>2017</b:Year>
    <b:JournalName>Revista Arjé</b:JournalName>
    <b:Pages>433</b:Pages>
    <b:RefOrder>1400</b:RefOrder>
  </b:Source>
  <b:Source>
    <b:Tag>Gor00</b:Tag>
    <b:SourceType>Book</b:SourceType>
    <b:Guid>{81F6E060-FF23-4464-AFFA-502DFCDDBBE4}</b:Guid>
    <b:Title>Matemáticas y educación: retos y cambios desde una perspectiva Internacional</b:Title>
    <b:Year>2012</b:Year>
    <b:Pages>España</b:Pages>
    <b:Author>
      <b:Author>
        <b:NameList>
          <b:Person>
            <b:Last>Gorgorio</b:Last>
            <b:First>N</b:First>
          </b:Person>
        </b:NameList>
      </b:Author>
    </b:Author>
    <b:City>España</b:City>
    <b:Publisher>Graó de IRIF S.L</b:Publisher>
    <b:RefOrder>1401</b:RefOrder>
  </b:Source>
  <b:Source>
    <b:Tag>Gam22</b:Tag>
    <b:SourceType>JournalArticle</b:SourceType>
    <b:Guid>{E18E0D9E-E078-41F0-BE6E-05A1AD120C8B}</b:Guid>
    <b:Author>
      <b:Author>
        <b:NameList>
          <b:Person>
            <b:Last>Gamboa</b:Last>
            <b:First>Michel</b:First>
          </b:Person>
        </b:NameList>
      </b:Author>
    </b:Author>
    <b:Title>La enseñanza de las matemáticas y el desarrollo del pensamiento en la Educación Básica</b:Title>
    <b:JournalName>Revista Dilemas Contemporáneos: Educación, Política y Valores. </b:JournalName>
    <b:Year>2022</b:Year>
    <b:RefOrder>1402</b:RefOrder>
  </b:Source>
  <b:Source>
    <b:Tag>Mor03</b:Tag>
    <b:SourceType>JournalArticle</b:SourceType>
    <b:Guid>{9BC41B2A-7DC8-4635-A8EB-6FBB5407C801}</b:Guid>
    <b:Title>Estrategias para el aprendizaje y la enseñanza de las matemáticas</b:Title>
    <b:Year>2003</b:Year>
    <b:Author>
      <b:Author>
        <b:NameList>
          <b:Person>
            <b:Last>Mora</b:Last>
            <b:First>Castor</b:First>
          </b:Person>
        </b:NameList>
      </b:Author>
    </b:Author>
    <b:JournalName>Revista de Pedagogía</b:JournalName>
    <b:RefOrder>1403</b:RefOrder>
  </b:Source>
  <b:Source>
    <b:Tag>MarcadorDePosición130</b:Tag>
    <b:SourceType>Book</b:SourceType>
    <b:Guid>{2872CD5E-2B72-4033-8D27-9C579072F416}</b:Guid>
    <b:Title>las matemáticas cercanas en educación infantil, escuela, familia y entorno</b:Title>
    <b:Year>2017</b:Year>
    <b:Author>
      <b:Author>
        <b:NameList>
          <b:Person>
            <b:Last>Sánchez</b:Last>
            <b:First>Belén</b:First>
          </b:Person>
        </b:NameList>
      </b:Author>
    </b:Author>
    <b:City>Cantabria</b:City>
    <b:Publisher>Universidad de Cantabria</b:Publisher>
    <b:RefOrder>1404</b:RefOrder>
  </b:Source>
  <b:Source>
    <b:Tag>MarcadorDePosición131</b:Tag>
    <b:SourceType>JournalArticle</b:SourceType>
    <b:Guid>{FD6EC52A-9DDA-4310-BBC8-48ACF1DD97C1}</b:Guid>
    <b:Title>identificar experiencias emocionales para mejorar la comprensión en matemáticas</b:Title>
    <b:Year>2020</b:Year>
    <b:Author>
      <b:Author>
        <b:NameList>
          <b:Person>
            <b:Last>Quintanilla</b:Last>
            <b:First>Verónica</b:First>
          </b:Person>
          <b:Person>
            <b:Last>Gallardo</b:Last>
            <b:First>Jesús</b:First>
          </b:Person>
        </b:NameList>
      </b:Author>
    </b:Author>
    <b:JournalName>Uno: Revista de didácticas de las matemáticas</b:JournalName>
    <b:Pages>24</b:Pages>
    <b:RefOrder>1405</b:RefOrder>
  </b:Source>
  <b:Source>
    <b:Tag>Sep09</b:Tag>
    <b:SourceType>JournalArticle</b:SourceType>
    <b:Guid>{429586C0-2A97-48B6-BF32-29F9A151E8B5}</b:Guid>
    <b:Title>La resolución de problemas y el uso de tareas en la enseñanza de las matemáticas</b:Title>
    <b:Year>2009</b:Year>
    <b:Author>
      <b:Author>
        <b:NameList>
          <b:Person>
            <b:Last>Sepúlveda</b:Last>
            <b:First>Armando</b:First>
          </b:Person>
          <b:Person>
            <b:Last>Medina</b:Last>
            <b:First>Cyntia</b:First>
          </b:Person>
          <b:Person>
            <b:Last>Sepúlveda</b:Last>
            <b:First>Diana</b:First>
          </b:Person>
        </b:NameList>
      </b:Author>
    </b:Author>
    <b:JournalName>Educación Matemática</b:JournalName>
    <b:Pages>81</b:Pages>
    <b:RefOrder>1406</b:RefOrder>
  </b:Source>
  <b:Source>
    <b:Tag>Vil04</b:Tag>
    <b:SourceType>Book</b:SourceType>
    <b:Guid>{40B0DA28-38F2-4B9A-93B4-A46E5E8F7945}</b:Guid>
    <b:Author>
      <b:Author>
        <b:NameList>
          <b:Person>
            <b:Last>Vila</b:Last>
            <b:First>Anthony</b:First>
          </b:Person>
          <b:Person>
            <b:Last>Callejo</b:Last>
            <b:First>María</b:First>
          </b:Person>
        </b:NameList>
      </b:Author>
    </b:Author>
    <b:Title>Matemáticas para aprender a pensar; el papel de las creencias en la solución de los problemas</b:Title>
    <b:Year>2004</b:Year>
    <b:City>España</b:City>
    <b:Publisher>Narcea Ediciones</b:Publisher>
    <b:RefOrder>1407</b:RefOrder>
  </b:Source>
  <b:Source>
    <b:Tag>Qui22</b:Tag>
    <b:SourceType>JournalArticle</b:SourceType>
    <b:Guid>{0FDC4948-7414-42DF-A7B7-050E2C59A7C4}</b:Guid>
    <b:Author>
      <b:Author>
        <b:NameList>
          <b:Person>
            <b:Last>Quiñonez</b:Last>
            <b:First>Augusto</b:First>
          </b:Person>
          <b:Person>
            <b:Last>Huiman</b:Last>
            <b:First>Hugo</b:First>
          </b:Person>
        </b:NameList>
      </b:Author>
    </b:Author>
    <b:Title>Resolución de problemas con el método matemático de Polya: La aventura de aprender</b:Title>
    <b:JournalName>Revista de Ciencias Sociales</b:JournalName>
    <b:Year>2022</b:Year>
    <b:Pages>75</b:Pages>
    <b:RefOrder>1408</b:RefOrder>
  </b:Source>
  <b:Source>
    <b:Tag>San20</b:Tag>
    <b:SourceType>JournalArticle</b:SourceType>
    <b:Guid>{6C7D13E0-814F-4A77-B973-C88A38C32E1A}</b:Guid>
    <b:Author>
      <b:Author>
        <b:NameList>
          <b:Person>
            <b:Last>Sanchéz</b:Last>
            <b:First>Lucia</b:First>
          </b:Person>
          <b:Person>
            <b:Last>Valverde</b:Last>
            <b:First>Yanet</b:First>
          </b:Person>
        </b:NameList>
      </b:Author>
    </b:Author>
    <b:Title>Método heurístico de George Pólya en la resolución de problemas matemáticos en estudiantes de grado sexto</b:Title>
    <b:JournalName>Revista Unimar</b:JournalName>
    <b:Year>2020</b:Year>
    <b:Pages>113</b:Pages>
    <b:RefOrder>1409</b:RefOrder>
  </b:Source>
  <b:Source>
    <b:Tag>Bar21</b:Tag>
    <b:SourceType>JournalArticle</b:SourceType>
    <b:Guid>{E01D46D4-F2A3-4806-A6A4-F0330E73ED43}</b:Guid>
    <b:Author>
      <b:Author>
        <b:NameList>
          <b:Person>
            <b:Last>Barrón</b:Last>
            <b:First>Juan</b:First>
          </b:Person>
          <b:Person>
            <b:Last>Basto</b:Last>
            <b:First>Isabel</b:First>
          </b:Person>
          <b:Person>
            <b:Last>Garro</b:Last>
            <b:First>luzmila</b:First>
          </b:Person>
        </b:NameList>
      </b:Author>
    </b:Author>
    <b:Title>Método Polya en la mejorar del aprendizaje</b:Title>
    <b:JournalName>Digital Publisher</b:JournalName>
    <b:Year>2021</b:Year>
    <b:Pages>166</b:Pages>
    <b:RefOrder>1410</b:RefOrder>
  </b:Source>
  <b:Source>
    <b:Tag>Alo12</b:Tag>
    <b:SourceType>InternetSite</b:SourceType>
    <b:Guid>{AA6594CA-488E-4699-A33C-8082379AD48C}</b:Guid>
    <b:Title>VESTIGIUM</b:Title>
    <b:Year>2012</b:Year>
    <b:Author>
      <b:Author>
        <b:NameList>
          <b:Person>
            <b:Last>Alonso</b:Last>
            <b:First>José</b:First>
          </b:Person>
        </b:NameList>
      </b:Author>
    </b:Author>
    <b:Month>mayo</b:Month>
    <b:Day> 7 </b:Day>
    <b:URL>https://www.glc.us.es/~jalonso/vestigium/el-metodo-de-polya-para-resolver-problemas/</b:URL>
    <b:RefOrder>1411</b:RefOrder>
  </b:Source>
  <b:Source>
    <b:Tag>MarcadorDePosición132</b:Tag>
    <b:SourceType>Book</b:SourceType>
    <b:Guid>{BD2106A5-2645-43E1-87AD-D702A9754B38}</b:Guid>
    <b:Author>
      <b:Author>
        <b:NameList>
          <b:Person>
            <b:Last>Garriga</b:Last>
            <b:First>Juan</b:First>
          </b:Person>
        </b:NameList>
      </b:Author>
    </b:Author>
    <b:Title>El lenguaje algebraico: un estudio con estudiantes de tercer curso de educación secundaria obligatoria</b:Title>
    <b:Year>2011</b:Year>
    <b:City>Zaragoza</b:City>
    <b:Publisher>Universidad de Zaragoza</b:Publisher>
    <b:RefOrder>1412</b:RefOrder>
  </b:Source>
  <b:Source>
    <b:Tag>Meh13</b:Tag>
    <b:SourceType>Book</b:SourceType>
    <b:Guid>{04AEA536-9F51-4BAD-BA03-A642CAC31459}</b:Guid>
    <b:Author>
      <b:Author>
        <b:NameList>
          <b:Person>
            <b:Last>Mehta</b:Last>
            <b:First>P.</b:First>
            <b:Middle>K., &amp; Monteiro, P. J. M.</b:Middle>
          </b:Person>
        </b:NameList>
      </b:Author>
    </b:Author>
    <b:Title> "Concrete: Microstructure, properties, and materials." </b:Title>
    <b:Year>2013</b:Year>
    <b:Publisher>McGraw-Hill Education.</b:Publisher>
    <b:RefOrder>1413</b:RefOrder>
  </b:Source>
  <b:Source>
    <b:Tag>Nev11</b:Tag>
    <b:SourceType>Book</b:SourceType>
    <b:Guid>{F4F9B285-606D-4EE0-BB50-8EF110AF9A92}</b:Guid>
    <b:Author>
      <b:Author>
        <b:NameList>
          <b:Person>
            <b:Last>Neville</b:Last>
            <b:First>A.</b:First>
            <b:Middle>M. (2011)</b:Middle>
          </b:Person>
        </b:NameList>
      </b:Author>
    </b:Author>
    <b:Title> "Properties of concrete." </b:Title>
    <b:Year>2011</b:Year>
    <b:Publisher>Pearson Education.</b:Publisher>
    <b:RefOrder>1414</b:RefOrder>
  </b:Source>
  <b:Source>
    <b:Tag>AMA19</b:Tag>
    <b:SourceType>JournalArticle</b:SourceType>
    <b:Guid>{39F2169E-6513-4985-8585-602FDA0EE684}</b:Guid>
    <b:Author>
      <b:Author>
        <b:NameList>
          <b:Person>
            <b:Last>AMARILES</b:Last>
            <b:First>P.</b:First>
          </b:Person>
          <b:Person>
            <b:Last>OSORIO</b:Last>
            <b:First>E.</b:First>
          </b:Person>
          <b:Person>
            <b:Last>CARDONA</b:Last>
            <b:First>D.</b:First>
          </b:Person>
        </b:NameList>
      </b:Author>
    </b:Author>
    <b:Title>Teaching of pharmaceutical care in Latin America: a structured review.[online]. , vol.43, n.2,</b:Title>
    <b:JournalName> Farm Hosp. </b:JournalName>
    <b:Year>2019</b:Year>
    <b:Pages> pp.66-73. ISSN 2171-8695.Â  https://dx.doi.org/10.7399/fh.11193.</b:Pages>
    <b:RefOrder>1415</b:RefOrder>
  </b:Source>
  <b:Source>
    <b:Tag>ONU231</b:Tag>
    <b:SourceType>InternetSite</b:SourceType>
    <b:Guid>{25E93B54-E1A3-4F87-8BB0-AC954CF83F3F}</b:Guid>
    <b:Author>
      <b:Author>
        <b:Corporate>ONU</b:Corporate>
      </b:Author>
    </b:Author>
    <b:Title>Objetivo 4: Garantizar una educación inclusiva, equitativa y de calidad y promover oportunidades de aprendizaje durante toda la vida para todos</b:Title>
    <b:Year>2023</b:Year>
    <b:URL>https://www.un.org/sustainabledevelopment/es/education/</b:URL>
    <b:RefOrder>1</b:RefOrder>
  </b:Source>
  <b:Source>
    <b:Tag>MarcadorDePosición133</b:Tag>
    <b:SourceType>InternetSite</b:SourceType>
    <b:Guid>{DB8D582C-DAFC-4889-849E-8A3DD049A514}</b:Guid>
    <b:Author>
      <b:Author>
        <b:Corporate>Asamblea Nacional del Ecuador</b:Corporate>
      </b:Author>
    </b:Author>
    <b:Title>Constitución de la República del Ecuador</b:Title>
    <b:Year>2008</b:Year>
    <b:URL>https://www.oas.org/juridico/pdfs/mesicic4_ecu_const.pdf</b:URL>
    <b:RefOrder>2</b:RefOrder>
  </b:Source>
  <b:Source>
    <b:Tag>LOE15</b:Tag>
    <b:SourceType>BookSection</b:SourceType>
    <b:Guid>{1300882A-A114-4974-A033-993A1B13574C}</b:Guid>
    <b:Author>
      <b:Author>
        <b:Corporate>Mineduc</b:Corporate>
      </b:Author>
    </b:Author>
    <b:Title>Ley Orgánica de educación intercultural</b:Title>
    <b:Year>2021</b:Year>
    <b:URL>https://educacion.gob.ec/wp-content/uploads/downloads/2021/05/Ley-Organica-Reformatoria-a-la-Ley-Organica-de-Educacion-Intercultural-Registro-Oficial.pdf</b:URL>
    <b:Publisher>Ministerio de Educación</b:Publisher>
    <b:RefOrder>6</b:RefOrder>
  </b:Source>
  <b:Source>
    <b:Tag>Alf25</b:Tag>
    <b:SourceType>JournalArticle</b:SourceType>
    <b:Guid>{969EF6CF-0CAC-4B9F-BBDE-C14428577937}</b:Guid>
    <b:Author>
      <b:Author>
        <b:NameList>
          <b:Person>
            <b:Last>Alfares</b:Last>
            <b:First>Nurah</b:First>
            <b:Middle>Saleh</b:Middle>
          </b:Person>
        </b:NameList>
      </b:Author>
    </b:Author>
    <b:Title>Investigating the Efficacy of Wordwall Platform in Enhancing Vocabulary Learning in Saudi EFL Classroom</b:Title>
    <b:JournalName>International Journal of Game-Based Learning</b:JournalName>
    <b:Year>2025</b:Year>
    <b:Volume>15</b:Volume>
    <b:Issue>1</b:Issue>
    <b:DOI>10.4018/IJGBL.367870</b:DOI>
    <b:RefOrder>7</b:RefOrder>
  </b:Source>
  <b:Source>
    <b:Tag>Yen23</b:Tag>
    <b:SourceType>JournalArticle</b:SourceType>
    <b:Guid>{9CF00940-70A3-40DC-93A8-C6160D7EEDBB}</b:Guid>
    <b:Author>
      <b:Author>
        <b:NameList>
          <b:Person>
            <b:Last>Caraballo</b:Last>
            <b:First>Yenny</b:First>
          </b:Person>
        </b:NameList>
      </b:Author>
    </b:Author>
    <b:Title>Gamificación educativa y su impacto en la enseñanza y aprendizaje del idioma inglés: un análisis de la literatura científica</b:Title>
    <b:JournalName>Ciencia Latina Revista Científica Multidisciplinar</b:JournalName>
    <b:Year>2023</b:Year>
    <b:Pages>1813-1830</b:Pages>
    <b:Volume>7</b:Volume>
    <b:Issue>4</b:Issue>
    <b:DOI>https://doi.org/10.37811/cl_rcm.v7i4.7011</b:DOI>
    <b:RefOrder>3</b:RefOrder>
  </b:Source>
  <b:Source>
    <b:Tag>Aok20</b:Tag>
    <b:SourceType>JournalArticle</b:SourceType>
    <b:Guid>{EFAD925F-FBD1-4B05-8182-D5F89CEC9295}</b:Guid>
    <b:Author>
      <b:Author>
        <b:NameList>
          <b:Person>
            <b:Last>Aoki</b:Last>
            <b:First>Ricardo</b:First>
          </b:Person>
        </b:NameList>
      </b:Author>
    </b:Author>
    <b:Title>Digital game-based learning applied to teaching of Journalistic writing</b:Title>
    <b:JournalName>Media e Jornalismo</b:JournalName>
    <b:Year>2020</b:Year>
    <b:Pages>109–128</b:Pages>
    <b:Volume>20</b:Volume>
    <b:Issue>36</b:Issue>
    <b:DOI>10.14195/2183-5462_36_6</b:DOI>
    <b:RefOrder>8</b:RefOrder>
  </b:Source>
</b:Sources>
</file>

<file path=customXml/itemProps1.xml><?xml version="1.0" encoding="utf-8"?>
<ds:datastoreItem xmlns:ds="http://schemas.openxmlformats.org/officeDocument/2006/customXml" ds:itemID="{EA6E1C9B-B7A1-433C-B237-153D4BE69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6811</Words>
  <Characters>37462</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44185</CharactersWithSpaces>
  <SharedDoc>false</SharedDoc>
  <HLinks>
    <vt:vector size="12" baseType="variant">
      <vt:variant>
        <vt:i4>1638514</vt:i4>
      </vt:variant>
      <vt:variant>
        <vt:i4>3</vt:i4>
      </vt:variant>
      <vt:variant>
        <vt:i4>0</vt:i4>
      </vt:variant>
      <vt:variant>
        <vt:i4>5</vt:i4>
      </vt:variant>
      <vt:variant>
        <vt:lpwstr>mailto:cxangulo@istluistello.edu.ec%20https://orcid.org/0000-0003-3118-8264</vt:lpwstr>
      </vt:variant>
      <vt:variant>
        <vt:lpwstr/>
      </vt:variant>
      <vt:variant>
        <vt:i4>1376379</vt:i4>
      </vt:variant>
      <vt:variant>
        <vt:i4>0</vt:i4>
      </vt:variant>
      <vt:variant>
        <vt:i4>0</vt:i4>
      </vt:variant>
      <vt:variant>
        <vt:i4>5</vt:i4>
      </vt:variant>
      <vt:variant>
        <vt:lpwstr>mailto:jzatizabal@istluistello.edu.echttps://orcid.org/0000-0002-2047-5287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ezequielsuarez3110@outlook.com</cp:lastModifiedBy>
  <cp:revision>2</cp:revision>
  <cp:lastPrinted>2022-05-14T19:38:00Z</cp:lastPrinted>
  <dcterms:created xsi:type="dcterms:W3CDTF">2025-10-24T14:11:00Z</dcterms:created>
  <dcterms:modified xsi:type="dcterms:W3CDTF">2025-10-24T14:11:00Z</dcterms:modified>
</cp:coreProperties>
</file>